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rPr>
          <w:rFonts w:ascii="宋体" w:hAnsi="宋体"/>
          <w:b/>
          <w:bCs/>
          <w:szCs w:val="21"/>
        </w:rPr>
      </w:pPr>
      <w:r>
        <w:rPr>
          <w:rFonts w:hint="eastAsia" w:ascii="宋体" w:hAnsi="宋体" w:cs="宋体"/>
          <w:b/>
          <w:bCs/>
          <w:color w:val="000000"/>
          <w:sz w:val="24"/>
        </w:rPr>
        <w:t>附件</w:t>
      </w:r>
      <w:r>
        <w:rPr>
          <w:rFonts w:ascii="宋体" w:hAnsi="宋体" w:cs="宋体"/>
          <w:b/>
          <w:bCs/>
          <w:color w:val="000000"/>
          <w:sz w:val="24"/>
        </w:rPr>
        <w:t>1</w:t>
      </w:r>
    </w:p>
    <w:p>
      <w:pPr>
        <w:snapToGrid w:val="0"/>
        <w:spacing w:line="400" w:lineRule="atLeast"/>
        <w:jc w:val="center"/>
        <w:rPr>
          <w:rFonts w:hint="eastAsia" w:ascii="宋体" w:hAnsi="宋体" w:cs="宋体"/>
          <w:b/>
          <w:bCs/>
          <w:sz w:val="24"/>
        </w:rPr>
      </w:pPr>
      <w:r>
        <w:rPr>
          <w:rFonts w:hint="eastAsia" w:ascii="宋体" w:hAnsi="宋体" w:cs="宋体"/>
          <w:b/>
          <w:bCs/>
          <w:color w:val="000000"/>
          <w:sz w:val="24"/>
        </w:rPr>
        <w:t>附录1  资格审查条件（资质最低要求）</w:t>
      </w:r>
    </w:p>
    <w:p>
      <w:pPr>
        <w:spacing w:line="500" w:lineRule="exact"/>
        <w:rPr>
          <w:rFonts w:hint="eastAsia" w:ascii="宋体" w:hAnsi="宋体"/>
          <w:color w:val="000000"/>
          <w:sz w:val="24"/>
        </w:rPr>
      </w:pPr>
    </w:p>
    <w:tbl>
      <w:tblPr>
        <w:tblStyle w:val="8"/>
        <w:tblW w:w="4752" w:type="pct"/>
        <w:jc w:val="center"/>
        <w:tblLayout w:type="autofit"/>
        <w:tblCellMar>
          <w:top w:w="0" w:type="dxa"/>
          <w:left w:w="108" w:type="dxa"/>
          <w:bottom w:w="0" w:type="dxa"/>
          <w:right w:w="94" w:type="dxa"/>
        </w:tblCellMar>
      </w:tblPr>
      <w:tblGrid>
        <w:gridCol w:w="8086"/>
      </w:tblGrid>
      <w:tr>
        <w:tblPrEx>
          <w:tblCellMar>
            <w:top w:w="0" w:type="dxa"/>
            <w:left w:w="108" w:type="dxa"/>
            <w:bottom w:w="0" w:type="dxa"/>
            <w:right w:w="94" w:type="dxa"/>
          </w:tblCellMar>
        </w:tblPrEx>
        <w:trPr>
          <w:trHeight w:val="533" w:hRule="atLeast"/>
          <w:jc w:val="center"/>
        </w:trPr>
        <w:tc>
          <w:tcPr>
            <w:tcW w:w="5000" w:type="pct"/>
            <w:tcBorders>
              <w:top w:val="single" w:color="000000" w:sz="4" w:space="0"/>
              <w:left w:val="single" w:color="000000" w:sz="4" w:space="0"/>
              <w:bottom w:val="nil"/>
              <w:right w:val="single" w:color="000000" w:sz="4" w:space="0"/>
            </w:tcBorders>
            <w:noWrap w:val="0"/>
            <w:vAlign w:val="center"/>
          </w:tcPr>
          <w:p>
            <w:pPr>
              <w:ind w:firstLine="200"/>
              <w:jc w:val="center"/>
              <w:rPr>
                <w:rFonts w:hint="eastAsia" w:ascii="宋体" w:hAnsi="宋体"/>
                <w:sz w:val="24"/>
              </w:rPr>
            </w:pPr>
            <w:r>
              <w:rPr>
                <w:rFonts w:hint="eastAsia" w:ascii="宋体" w:hAnsi="宋体"/>
                <w:sz w:val="24"/>
              </w:rPr>
              <w:t>资质要求</w:t>
            </w:r>
          </w:p>
        </w:tc>
      </w:tr>
      <w:tr>
        <w:tblPrEx>
          <w:tblCellMar>
            <w:top w:w="0" w:type="dxa"/>
            <w:left w:w="108" w:type="dxa"/>
            <w:bottom w:w="0" w:type="dxa"/>
            <w:right w:w="94" w:type="dxa"/>
          </w:tblCellMar>
        </w:tblPrEx>
        <w:trPr>
          <w:trHeight w:val="2255" w:hRule="atLeast"/>
          <w:jc w:val="center"/>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pStyle w:val="14"/>
              <w:spacing w:line="400" w:lineRule="exact"/>
              <w:rPr>
                <w:rFonts w:ascii="宋体" w:hAnsi="宋体"/>
                <w:kern w:val="0"/>
                <w:sz w:val="24"/>
                <w:szCs w:val="24"/>
              </w:rPr>
            </w:pPr>
            <w:r>
              <w:rPr>
                <w:rFonts w:hint="eastAsia" w:ascii="宋体" w:hAnsi="宋体"/>
                <w:kern w:val="0"/>
                <w:sz w:val="24"/>
                <w:szCs w:val="24"/>
              </w:rPr>
              <w:t>1.持有工商行政管理部门核发的有效企业法人营业执照；</w:t>
            </w:r>
          </w:p>
          <w:p>
            <w:pPr>
              <w:spacing w:line="400" w:lineRule="exact"/>
              <w:rPr>
                <w:rFonts w:ascii="宋体" w:hAnsi="宋体"/>
                <w:color w:val="000000"/>
                <w:sz w:val="24"/>
              </w:rPr>
            </w:pPr>
            <w:r>
              <w:rPr>
                <w:rFonts w:ascii="宋体" w:hAnsi="宋体"/>
                <w:color w:val="000000"/>
                <w:sz w:val="24"/>
              </w:rPr>
              <w:t>2.</w:t>
            </w:r>
            <w:r>
              <w:rPr>
                <w:rFonts w:hint="eastAsia" w:ascii="宋体" w:hAnsi="宋体"/>
                <w:color w:val="000000"/>
                <w:sz w:val="24"/>
              </w:rPr>
              <w:t>申请人必须为湖北长江路桥股份有限公司准入资源库内的协作单位和湖北省交通投资集团有限公司准入单位；</w:t>
            </w:r>
          </w:p>
          <w:p>
            <w:pPr>
              <w:spacing w:line="400" w:lineRule="exact"/>
              <w:rPr>
                <w:rFonts w:hint="eastAsia" w:ascii="宋体" w:hAnsi="宋体"/>
                <w:color w:val="000000"/>
                <w:sz w:val="24"/>
              </w:rPr>
            </w:pPr>
            <w:r>
              <w:rPr>
                <w:rFonts w:ascii="宋体" w:hAnsi="宋体"/>
                <w:color w:val="000000"/>
                <w:sz w:val="24"/>
              </w:rPr>
              <w:t>3</w:t>
            </w:r>
            <w:r>
              <w:rPr>
                <w:rFonts w:hint="eastAsia" w:ascii="宋体" w:hAnsi="宋体"/>
                <w:color w:val="000000"/>
                <w:sz w:val="24"/>
              </w:rPr>
              <w:t>.不低于具有交通运输部质监机构颁发的公路工程综合甲级试验检测资质或公路桥梁隧道工程专项试验检测资质资质证书（监控量测业务范围须含“隧道监控量测”内容），并取得省级及以上技术监督部门颁发的计量认证证书；或具有住建部颁发的工程勘察专业类（岩土工程）甲级及以上资质。</w:t>
            </w:r>
          </w:p>
        </w:tc>
      </w:tr>
    </w:tbl>
    <w:p>
      <w:pPr>
        <w:pStyle w:val="7"/>
        <w:ind w:left="0" w:leftChars="0" w:firstLine="0" w:firstLineChars="0"/>
        <w:rPr>
          <w:rFonts w:hint="eastAsia" w:ascii="宋体" w:hAnsi="宋体"/>
          <w:color w:val="000000"/>
          <w:sz w:val="24"/>
        </w:rPr>
      </w:pPr>
    </w:p>
    <w:p>
      <w:pPr>
        <w:snapToGrid w:val="0"/>
        <w:spacing w:line="400" w:lineRule="atLeast"/>
        <w:jc w:val="center"/>
        <w:rPr>
          <w:rFonts w:ascii="宋体" w:hAnsi="宋体" w:cs="宋体"/>
          <w:b/>
          <w:bCs/>
          <w:sz w:val="24"/>
        </w:rPr>
      </w:pPr>
      <w:r>
        <w:rPr>
          <w:rFonts w:hint="eastAsia" w:ascii="宋体" w:hAnsi="宋体" w:cs="宋体"/>
          <w:b/>
          <w:bCs/>
          <w:sz w:val="24"/>
        </w:rPr>
        <w:t>附录2  资格审查条件（</w:t>
      </w:r>
      <w:r>
        <w:rPr>
          <w:rFonts w:ascii="宋体" w:hAnsi="宋体" w:cs="宋体"/>
          <w:b/>
          <w:bCs/>
          <w:sz w:val="24"/>
        </w:rPr>
        <w:t>财务最低要求</w:t>
      </w:r>
      <w:r>
        <w:rPr>
          <w:rFonts w:hint="eastAsia" w:ascii="宋体" w:hAnsi="宋体" w:cs="宋体"/>
          <w:b/>
          <w:bCs/>
          <w:sz w:val="24"/>
        </w:rPr>
        <w:t>）</w:t>
      </w:r>
    </w:p>
    <w:p>
      <w:pPr>
        <w:pStyle w:val="7"/>
        <w:ind w:firstLine="480"/>
        <w:rPr>
          <w:rFonts w:ascii="宋体" w:hAnsi="宋体"/>
          <w:sz w:val="24"/>
        </w:rPr>
      </w:pPr>
    </w:p>
    <w:tbl>
      <w:tblPr>
        <w:tblStyle w:val="8"/>
        <w:tblW w:w="87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 w:hRule="atLeast"/>
          <w:jc w:val="center"/>
        </w:trPr>
        <w:tc>
          <w:tcPr>
            <w:tcW w:w="8738" w:type="dxa"/>
            <w:noWrap w:val="0"/>
            <w:vAlign w:val="center"/>
          </w:tcPr>
          <w:p>
            <w:pPr>
              <w:ind w:firstLine="200"/>
              <w:jc w:val="center"/>
              <w:rPr>
                <w:rFonts w:hint="eastAsia" w:ascii="宋体" w:hAnsi="宋体"/>
                <w:sz w:val="24"/>
              </w:rPr>
            </w:pPr>
            <w:r>
              <w:rPr>
                <w:rFonts w:hint="eastAsia" w:ascii="宋体" w:hAnsi="宋体"/>
                <w:sz w:val="24"/>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jc w:val="center"/>
        </w:trPr>
        <w:tc>
          <w:tcPr>
            <w:tcW w:w="8738" w:type="dxa"/>
            <w:noWrap w:val="0"/>
            <w:vAlign w:val="center"/>
          </w:tcPr>
          <w:p>
            <w:pPr>
              <w:widowControl/>
              <w:spacing w:line="400" w:lineRule="exact"/>
              <w:rPr>
                <w:rFonts w:hint="eastAsia" w:ascii="宋体" w:hAnsi="宋体"/>
                <w:sz w:val="24"/>
              </w:rPr>
            </w:pPr>
            <w:r>
              <w:rPr>
                <w:rFonts w:hint="eastAsia" w:ascii="宋体" w:hAnsi="宋体"/>
                <w:sz w:val="24"/>
              </w:rPr>
              <w:t>由银行出具在遴选公告发布之日前</w:t>
            </w:r>
            <w:r>
              <w:rPr>
                <w:rFonts w:ascii="宋体" w:hAnsi="宋体"/>
                <w:sz w:val="24"/>
              </w:rPr>
              <w:t>3</w:t>
            </w:r>
            <w:r>
              <w:rPr>
                <w:rFonts w:hint="eastAsia" w:ascii="宋体" w:hAnsi="宋体"/>
                <w:sz w:val="24"/>
              </w:rPr>
              <w:t>个月（2020年7月、8月、9月）月末内的单位账户流水证明，每月账户余额平均值不少于遴选控制价的2%。</w:t>
            </w:r>
          </w:p>
        </w:tc>
      </w:tr>
    </w:tbl>
    <w:p>
      <w:pPr>
        <w:pStyle w:val="7"/>
        <w:ind w:left="0" w:leftChars="0" w:firstLine="0" w:firstLineChars="0"/>
        <w:rPr>
          <w:rFonts w:hint="eastAsia" w:ascii="宋体" w:hAnsi="宋体"/>
          <w:color w:val="000000"/>
          <w:sz w:val="24"/>
        </w:rPr>
      </w:pPr>
    </w:p>
    <w:p>
      <w:pPr>
        <w:snapToGrid w:val="0"/>
        <w:spacing w:line="400" w:lineRule="atLeast"/>
        <w:jc w:val="center"/>
        <w:rPr>
          <w:rFonts w:hint="eastAsia" w:ascii="宋体" w:hAnsi="宋体" w:cs="宋体"/>
          <w:b/>
          <w:bCs/>
          <w:sz w:val="24"/>
        </w:rPr>
      </w:pPr>
      <w:r>
        <w:rPr>
          <w:rFonts w:hint="eastAsia" w:ascii="宋体" w:hAnsi="宋体" w:cs="宋体"/>
          <w:b/>
          <w:bCs/>
          <w:sz w:val="24"/>
        </w:rPr>
        <w:t>附录3  资格审查条件(业绩最低要求)</w:t>
      </w:r>
    </w:p>
    <w:p>
      <w:pPr>
        <w:spacing w:line="500" w:lineRule="exact"/>
        <w:rPr>
          <w:rFonts w:hint="eastAsia" w:ascii="宋体" w:hAnsi="宋体"/>
          <w:color w:val="000000"/>
          <w:sz w:val="24"/>
        </w:rPr>
      </w:pPr>
    </w:p>
    <w:tbl>
      <w:tblPr>
        <w:tblStyle w:val="8"/>
        <w:tblW w:w="4771" w:type="pct"/>
        <w:jc w:val="center"/>
        <w:tblLayout w:type="autofit"/>
        <w:tblCellMar>
          <w:top w:w="0" w:type="dxa"/>
          <w:left w:w="108" w:type="dxa"/>
          <w:bottom w:w="0" w:type="dxa"/>
          <w:right w:w="94" w:type="dxa"/>
        </w:tblCellMar>
      </w:tblPr>
      <w:tblGrid>
        <w:gridCol w:w="8118"/>
      </w:tblGrid>
      <w:tr>
        <w:tblPrEx>
          <w:tblCellMar>
            <w:top w:w="0" w:type="dxa"/>
            <w:left w:w="108" w:type="dxa"/>
            <w:bottom w:w="0" w:type="dxa"/>
            <w:right w:w="94" w:type="dxa"/>
          </w:tblCellMar>
        </w:tblPrEx>
        <w:trPr>
          <w:trHeight w:val="623" w:hRule="atLeast"/>
          <w:jc w:val="center"/>
        </w:trPr>
        <w:tc>
          <w:tcPr>
            <w:tcW w:w="5000" w:type="pct"/>
            <w:tcBorders>
              <w:top w:val="single" w:color="000000" w:sz="4" w:space="0"/>
              <w:left w:val="single" w:color="000000" w:sz="4" w:space="0"/>
              <w:bottom w:val="nil"/>
              <w:right w:val="single" w:color="000000" w:sz="4" w:space="0"/>
            </w:tcBorders>
            <w:noWrap w:val="0"/>
            <w:vAlign w:val="center"/>
          </w:tcPr>
          <w:p>
            <w:pPr>
              <w:ind w:firstLine="200"/>
              <w:jc w:val="center"/>
              <w:rPr>
                <w:rFonts w:ascii="宋体" w:hAnsi="宋体"/>
                <w:sz w:val="24"/>
              </w:rPr>
            </w:pPr>
            <w:r>
              <w:rPr>
                <w:rFonts w:hint="eastAsia" w:ascii="宋体" w:hAnsi="宋体"/>
                <w:sz w:val="24"/>
              </w:rPr>
              <w:t>业绩要求</w:t>
            </w:r>
          </w:p>
        </w:tc>
      </w:tr>
      <w:tr>
        <w:tblPrEx>
          <w:tblCellMar>
            <w:top w:w="0" w:type="dxa"/>
            <w:left w:w="108" w:type="dxa"/>
            <w:bottom w:w="0" w:type="dxa"/>
            <w:right w:w="94" w:type="dxa"/>
          </w:tblCellMar>
        </w:tblPrEx>
        <w:trPr>
          <w:trHeight w:val="844" w:hRule="atLeast"/>
          <w:jc w:val="center"/>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sz w:val="24"/>
              </w:rPr>
            </w:pPr>
            <w:r>
              <w:rPr>
                <w:rFonts w:hint="eastAsia"/>
                <w:sz w:val="24"/>
              </w:rPr>
              <w:t>近5年承担过1个类似工程检测业绩（1个检测合同含隧道监控量测和地质超前预报或1个合同含隧道监控量测，1个合同含超前地质预报）。</w:t>
            </w:r>
            <w:r>
              <w:rPr>
                <w:rFonts w:hint="eastAsia" w:ascii="宋体" w:hAnsi="宋体"/>
                <w:sz w:val="24"/>
              </w:rPr>
              <w:t xml:space="preserve">  </w:t>
            </w:r>
          </w:p>
        </w:tc>
      </w:tr>
    </w:tbl>
    <w:p>
      <w:pPr>
        <w:spacing w:line="440" w:lineRule="exact"/>
        <w:ind w:firstLine="676" w:firstLineChars="282"/>
        <w:rPr>
          <w:rFonts w:ascii="宋体" w:hAnsi="宋体" w:cs="黑体"/>
          <w:sz w:val="24"/>
        </w:rPr>
      </w:pPr>
      <w:r>
        <w:rPr>
          <w:rFonts w:hint="eastAsia" w:ascii="宋体" w:hAnsi="宋体"/>
          <w:sz w:val="24"/>
        </w:rPr>
        <w:t>注：1</w:t>
      </w:r>
      <w:r>
        <w:rPr>
          <w:rFonts w:ascii="宋体" w:hAnsi="宋体"/>
          <w:sz w:val="24"/>
        </w:rPr>
        <w:t>.</w:t>
      </w:r>
      <w:r>
        <w:rPr>
          <w:rFonts w:hint="eastAsia" w:ascii="宋体" w:hAnsi="宋体" w:cs="黑体"/>
          <w:sz w:val="24"/>
        </w:rPr>
        <w:t>申请人应根据本表要求，如实提供近</w:t>
      </w:r>
      <w:r>
        <w:rPr>
          <w:rFonts w:hint="eastAsia" w:ascii="宋体" w:hAnsi="宋体"/>
          <w:sz w:val="24"/>
        </w:rPr>
        <w:t>5</w:t>
      </w:r>
      <w:r>
        <w:rPr>
          <w:rFonts w:hint="eastAsia" w:ascii="宋体" w:hAnsi="宋体" w:cs="黑体"/>
          <w:sz w:val="24"/>
        </w:rPr>
        <w:t>年内的类似工程经历，以证明其满足资格审查条件（业绩）。</w:t>
      </w:r>
    </w:p>
    <w:p>
      <w:pPr>
        <w:spacing w:line="440" w:lineRule="exact"/>
        <w:ind w:firstLine="676" w:firstLineChars="282"/>
        <w:rPr>
          <w:rFonts w:hint="eastAsia" w:ascii="宋体" w:hAnsi="宋体"/>
          <w:sz w:val="24"/>
        </w:rPr>
      </w:pPr>
      <w:r>
        <w:rPr>
          <w:rFonts w:hint="eastAsia" w:ascii="宋体" w:hAnsi="宋体"/>
          <w:sz w:val="24"/>
        </w:rPr>
        <w:t>2</w:t>
      </w:r>
      <w:r>
        <w:rPr>
          <w:rFonts w:ascii="宋体" w:hAnsi="宋体"/>
          <w:sz w:val="24"/>
        </w:rPr>
        <w:t>.</w:t>
      </w:r>
      <w:r>
        <w:rPr>
          <w:rFonts w:hint="eastAsia" w:ascii="宋体" w:hAnsi="宋体"/>
          <w:sz w:val="24"/>
        </w:rPr>
        <w:t xml:space="preserve"> 提供彩色打印的合同协议书。若未提供合同协议书证明，遴选人在对申请人进行业绩审查时将不考虑该项目。</w:t>
      </w:r>
    </w:p>
    <w:p>
      <w:pPr>
        <w:snapToGrid w:val="0"/>
        <w:spacing w:line="400" w:lineRule="atLeast"/>
        <w:rPr>
          <w:rFonts w:hint="eastAsia" w:ascii="宋体" w:hAnsi="宋体" w:cs="宋体"/>
          <w:b/>
          <w:bCs/>
          <w:sz w:val="24"/>
        </w:rPr>
      </w:pPr>
    </w:p>
    <w:p>
      <w:pPr>
        <w:snapToGrid w:val="0"/>
        <w:spacing w:line="400" w:lineRule="atLeast"/>
        <w:jc w:val="left"/>
        <w:rPr>
          <w:rFonts w:ascii="宋体" w:hAnsi="宋体" w:cs="宋体"/>
          <w:b/>
          <w:bCs/>
          <w:sz w:val="24"/>
        </w:rPr>
      </w:pPr>
    </w:p>
    <w:p>
      <w:pPr>
        <w:snapToGrid w:val="0"/>
        <w:spacing w:line="400" w:lineRule="atLeast"/>
        <w:jc w:val="left"/>
        <w:rPr>
          <w:rFonts w:ascii="宋体" w:hAnsi="宋体" w:cs="宋体"/>
          <w:b/>
          <w:bCs/>
          <w:sz w:val="24"/>
        </w:rPr>
      </w:pPr>
    </w:p>
    <w:p>
      <w:pPr>
        <w:pStyle w:val="2"/>
        <w:rPr>
          <w:rFonts w:hint="eastAsia"/>
        </w:rPr>
      </w:pPr>
    </w:p>
    <w:p>
      <w:pPr>
        <w:snapToGrid w:val="0"/>
        <w:spacing w:line="400" w:lineRule="atLeast"/>
        <w:jc w:val="center"/>
        <w:rPr>
          <w:rFonts w:hint="eastAsia" w:ascii="宋体" w:hAnsi="宋体" w:cs="宋体"/>
          <w:b/>
          <w:bCs/>
          <w:sz w:val="24"/>
        </w:rPr>
      </w:pPr>
      <w:r>
        <w:rPr>
          <w:rFonts w:hint="eastAsia" w:ascii="宋体" w:hAnsi="宋体" w:cs="宋体"/>
          <w:b/>
          <w:bCs/>
          <w:sz w:val="24"/>
        </w:rPr>
        <w:t>附录4  资格审查条件(信誉最低要求)</w:t>
      </w:r>
    </w:p>
    <w:p>
      <w:pPr>
        <w:snapToGrid w:val="0"/>
        <w:spacing w:line="400" w:lineRule="atLeast"/>
        <w:rPr>
          <w:rFonts w:ascii="宋体" w:hAnsi="宋体"/>
          <w:bCs/>
          <w:sz w:val="24"/>
        </w:rPr>
      </w:pPr>
    </w:p>
    <w:tbl>
      <w:tblPr>
        <w:tblStyle w:val="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noWrap w:val="0"/>
            <w:vAlign w:val="center"/>
          </w:tcPr>
          <w:p>
            <w:pPr>
              <w:snapToGrid w:val="0"/>
              <w:spacing w:line="440" w:lineRule="exact"/>
              <w:jc w:val="center"/>
              <w:rPr>
                <w:rFonts w:hint="eastAsia" w:ascii="宋体" w:hAnsi="宋体" w:cs="宋体"/>
                <w:sz w:val="24"/>
              </w:rPr>
            </w:pPr>
            <w:r>
              <w:rPr>
                <w:rFonts w:hint="eastAsia" w:ascii="宋体" w:hAnsi="宋体" w:cs="宋体"/>
                <w:sz w:val="24"/>
              </w:rPr>
              <w:t>合同包</w:t>
            </w:r>
          </w:p>
        </w:tc>
        <w:tc>
          <w:tcPr>
            <w:tcW w:w="7480" w:type="dxa"/>
            <w:noWrap w:val="0"/>
            <w:vAlign w:val="center"/>
          </w:tcPr>
          <w:p>
            <w:pPr>
              <w:snapToGrid w:val="0"/>
              <w:spacing w:line="440" w:lineRule="exact"/>
              <w:jc w:val="center"/>
              <w:rPr>
                <w:rFonts w:hint="eastAsia" w:ascii="宋体" w:hAnsi="宋体" w:cs="宋体"/>
                <w:sz w:val="24"/>
              </w:rPr>
            </w:pPr>
            <w:r>
              <w:rPr>
                <w:rFonts w:hint="eastAsia" w:ascii="宋体" w:hAnsi="宋体" w:cs="宋体"/>
                <w:sz w:val="24"/>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694" w:type="dxa"/>
            <w:noWrap w:val="0"/>
            <w:vAlign w:val="center"/>
          </w:tcPr>
          <w:p>
            <w:pPr>
              <w:spacing w:line="440" w:lineRule="exact"/>
              <w:jc w:val="center"/>
              <w:rPr>
                <w:rFonts w:ascii="宋体" w:hAnsi="宋体" w:cs="宋体"/>
                <w:sz w:val="24"/>
              </w:rPr>
            </w:pPr>
            <w:r>
              <w:rPr>
                <w:rFonts w:hint="eastAsia" w:ascii="宋体" w:hAnsi="宋体" w:cs="宋体"/>
                <w:sz w:val="24"/>
              </w:rPr>
              <w:t>第1合同包</w:t>
            </w:r>
          </w:p>
        </w:tc>
        <w:tc>
          <w:tcPr>
            <w:tcW w:w="7480" w:type="dxa"/>
            <w:noWrap w:val="0"/>
            <w:vAlign w:val="center"/>
          </w:tcPr>
          <w:p>
            <w:pPr>
              <w:widowControl/>
              <w:spacing w:line="400" w:lineRule="exact"/>
              <w:rPr>
                <w:rFonts w:ascii="宋体" w:hAnsi="宋体"/>
                <w:sz w:val="24"/>
              </w:rPr>
            </w:pPr>
            <w:r>
              <w:rPr>
                <w:rFonts w:hint="eastAsia" w:ascii="宋体" w:hAnsi="宋体"/>
                <w:sz w:val="24"/>
              </w:rPr>
              <w:t>不得存在下列情况（信誉最低要求）：</w:t>
            </w:r>
          </w:p>
          <w:p>
            <w:pPr>
              <w:widowControl/>
              <w:spacing w:line="400" w:lineRule="exact"/>
              <w:rPr>
                <w:rFonts w:ascii="宋体" w:hAnsi="宋体"/>
                <w:sz w:val="24"/>
              </w:rPr>
            </w:pPr>
            <w:r>
              <w:rPr>
                <w:rFonts w:ascii="宋体" w:hAnsi="宋体"/>
                <w:sz w:val="24"/>
              </w:rPr>
              <w:t>1</w:t>
            </w:r>
            <w:r>
              <w:rPr>
                <w:rFonts w:hint="eastAsia" w:ascii="宋体" w:hAnsi="宋体"/>
                <w:sz w:val="24"/>
              </w:rPr>
              <w:t>、处于被责令停业、接管或清算、破产状态；</w:t>
            </w:r>
          </w:p>
          <w:p>
            <w:pPr>
              <w:widowControl/>
              <w:spacing w:line="400" w:lineRule="exact"/>
              <w:rPr>
                <w:rFonts w:ascii="宋体" w:hAnsi="宋体"/>
                <w:sz w:val="24"/>
              </w:rPr>
            </w:pPr>
            <w:r>
              <w:rPr>
                <w:rFonts w:ascii="宋体" w:hAnsi="宋体"/>
                <w:sz w:val="24"/>
              </w:rPr>
              <w:t>2</w:t>
            </w:r>
            <w:r>
              <w:rPr>
                <w:rFonts w:hint="eastAsia" w:ascii="宋体" w:hAnsi="宋体"/>
                <w:sz w:val="24"/>
              </w:rPr>
              <w:t>、申请人在最近三年内被交通运输部或省级交通运输厅因发生过骗取中标或严重违约受到处分且处于处罚期内；</w:t>
            </w:r>
          </w:p>
          <w:p>
            <w:pPr>
              <w:widowControl/>
              <w:spacing w:line="400" w:lineRule="exact"/>
              <w:rPr>
                <w:rFonts w:ascii="宋体" w:hAnsi="宋体"/>
                <w:sz w:val="24"/>
              </w:rPr>
            </w:pPr>
            <w:r>
              <w:rPr>
                <w:rFonts w:ascii="宋体" w:hAnsi="宋体"/>
                <w:sz w:val="24"/>
              </w:rPr>
              <w:t>3</w:t>
            </w:r>
            <w:r>
              <w:rPr>
                <w:rFonts w:hint="eastAsia" w:ascii="宋体" w:hAnsi="宋体"/>
                <w:sz w:val="24"/>
              </w:rPr>
              <w:t>、申请人、申请人法定代表人及派驻现场负责人在本遴选文件开始发布之日起前 3年内有行贿犯罪记录；</w:t>
            </w:r>
          </w:p>
          <w:p>
            <w:pPr>
              <w:widowControl/>
              <w:spacing w:line="400" w:lineRule="exact"/>
              <w:rPr>
                <w:rFonts w:ascii="宋体" w:hAnsi="宋体"/>
                <w:sz w:val="24"/>
              </w:rPr>
            </w:pPr>
            <w:r>
              <w:rPr>
                <w:rFonts w:ascii="宋体" w:hAnsi="宋体"/>
                <w:sz w:val="24"/>
              </w:rPr>
              <w:t>4</w:t>
            </w:r>
            <w:r>
              <w:rPr>
                <w:rFonts w:hint="eastAsia" w:ascii="宋体" w:hAnsi="宋体"/>
                <w:sz w:val="24"/>
              </w:rPr>
              <w:t>、存在下列不良状况或不良信用记录：</w:t>
            </w:r>
          </w:p>
          <w:p>
            <w:pPr>
              <w:widowControl/>
              <w:spacing w:line="400" w:lineRule="exact"/>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）在国家企业信用信息公示系统（</w:t>
            </w:r>
            <w:r>
              <w:rPr>
                <w:rFonts w:ascii="宋体" w:hAnsi="宋体"/>
                <w:sz w:val="24"/>
              </w:rPr>
              <w:t>http://www.gsxt.gov.cn/</w:t>
            </w:r>
            <w:r>
              <w:rPr>
                <w:rFonts w:hint="eastAsia" w:ascii="宋体" w:hAnsi="宋体"/>
                <w:sz w:val="24"/>
              </w:rPr>
              <w:t>）中被列入严重违法失信企业名单的；</w:t>
            </w:r>
          </w:p>
          <w:p>
            <w:pPr>
              <w:widowControl/>
              <w:spacing w:line="400" w:lineRule="exact"/>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）在“信用中国”网站（</w:t>
            </w:r>
            <w:r>
              <w:rPr>
                <w:rFonts w:ascii="宋体" w:hAnsi="宋体"/>
                <w:sz w:val="24"/>
              </w:rPr>
              <w:t>http://www.creditchina.gov.cn/</w:t>
            </w:r>
            <w:r>
              <w:rPr>
                <w:rFonts w:hint="eastAsia" w:ascii="宋体" w:hAnsi="宋体"/>
                <w:sz w:val="24"/>
              </w:rPr>
              <w:t>）中被列入失信被执行人名单或重大税收违法案件当事人；</w:t>
            </w:r>
          </w:p>
          <w:p>
            <w:pPr>
              <w:widowControl/>
              <w:spacing w:line="400" w:lineRule="exact"/>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）申请人或其法定代表人、拟委任的项目在近三年内有行贿犯罪行为的；</w:t>
            </w:r>
          </w:p>
          <w:p>
            <w:pPr>
              <w:widowControl/>
              <w:spacing w:line="400" w:lineRule="exact"/>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）其他在“信用中国”网站（</w:t>
            </w:r>
            <w:r>
              <w:rPr>
                <w:rFonts w:ascii="宋体" w:hAnsi="宋体"/>
                <w:sz w:val="24"/>
              </w:rPr>
              <w:t>http://www.creditchina.gov.cn/</w:t>
            </w:r>
            <w:r>
              <w:rPr>
                <w:rFonts w:hint="eastAsia" w:ascii="宋体" w:hAnsi="宋体"/>
                <w:sz w:val="24"/>
              </w:rPr>
              <w:t>）中被列为失信惩戒对象，且按联合惩戒要求禁止参与招投标的；</w:t>
            </w:r>
          </w:p>
          <w:p>
            <w:pPr>
              <w:pStyle w:val="7"/>
              <w:spacing w:line="400" w:lineRule="exact"/>
              <w:ind w:left="0" w:leftChars="0" w:firstLine="0" w:firstLineChars="0"/>
              <w:jc w:val="left"/>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）上一年度被遴选人列入</w:t>
            </w:r>
            <w:r>
              <w:rPr>
                <w:rFonts w:ascii="宋体" w:hAnsi="宋体"/>
                <w:sz w:val="24"/>
              </w:rPr>
              <w:t>D</w:t>
            </w:r>
            <w:r>
              <w:rPr>
                <w:rFonts w:hint="eastAsia" w:ascii="宋体" w:hAnsi="宋体"/>
                <w:sz w:val="24"/>
              </w:rPr>
              <w:t>级资源库的协作单位（检测服务类）。</w:t>
            </w:r>
          </w:p>
          <w:p>
            <w:pPr>
              <w:pStyle w:val="7"/>
              <w:spacing w:line="400" w:lineRule="exact"/>
              <w:ind w:left="0" w:leftChars="0" w:firstLine="0" w:firstLineChars="0"/>
              <w:jc w:val="left"/>
              <w:rPr>
                <w:rFonts w:hint="eastAsia" w:ascii="宋体" w:hAnsi="宋体"/>
                <w:color w:val="000000"/>
                <w:sz w:val="24"/>
              </w:rPr>
            </w:pPr>
            <w:r>
              <w:rPr>
                <w:rFonts w:hint="eastAsia" w:ascii="宋体" w:hAnsi="宋体"/>
                <w:sz w:val="24"/>
              </w:rPr>
              <w:t>（6）近三年度被遴选人列入</w:t>
            </w:r>
            <w:r>
              <w:rPr>
                <w:rFonts w:ascii="宋体" w:hAnsi="宋体"/>
                <w:sz w:val="24"/>
              </w:rPr>
              <w:t>Z</w:t>
            </w:r>
            <w:r>
              <w:rPr>
                <w:rFonts w:hint="eastAsia" w:ascii="宋体" w:hAnsi="宋体"/>
                <w:sz w:val="24"/>
              </w:rPr>
              <w:t>级资源库的协作单位（检测服务类）</w:t>
            </w:r>
          </w:p>
        </w:tc>
      </w:tr>
    </w:tbl>
    <w:p>
      <w:pPr>
        <w:ind w:firstLine="676" w:firstLineChars="282"/>
        <w:rPr>
          <w:rFonts w:hint="eastAsia" w:ascii="宋体" w:hAnsi="宋体"/>
          <w:sz w:val="24"/>
        </w:rPr>
      </w:pPr>
      <w:r>
        <w:rPr>
          <w:rFonts w:hint="eastAsia" w:ascii="宋体" w:hAnsi="宋体"/>
          <w:sz w:val="24"/>
        </w:rPr>
        <w:t>注：对以上（1）、（2）、（4）信用状况应附指定网站截图，截图时间为遴选公告发布之日至申请截止日之间。</w:t>
      </w:r>
    </w:p>
    <w:p>
      <w:pPr>
        <w:pStyle w:val="7"/>
        <w:ind w:left="0" w:leftChars="0" w:firstLine="0" w:firstLineChars="0"/>
        <w:rPr>
          <w:rFonts w:hint="eastAsia" w:ascii="宋体" w:hAnsi="宋体"/>
          <w:color w:val="000000"/>
          <w:sz w:val="24"/>
        </w:rPr>
      </w:pPr>
    </w:p>
    <w:p>
      <w:pPr>
        <w:snapToGrid w:val="0"/>
        <w:spacing w:line="400" w:lineRule="atLeast"/>
        <w:jc w:val="center"/>
        <w:rPr>
          <w:rFonts w:ascii="宋体" w:hAnsi="宋体" w:cs="宋体"/>
          <w:b/>
          <w:bCs/>
          <w:sz w:val="24"/>
        </w:rPr>
      </w:pPr>
      <w:r>
        <w:rPr>
          <w:rFonts w:ascii="宋体" w:hAnsi="宋体" w:cs="宋体"/>
          <w:b/>
          <w:bCs/>
          <w:sz w:val="24"/>
        </w:rPr>
        <w:t>附录</w:t>
      </w:r>
      <w:r>
        <w:rPr>
          <w:rFonts w:hint="eastAsia" w:ascii="宋体" w:hAnsi="宋体" w:cs="宋体"/>
          <w:b/>
          <w:bCs/>
          <w:sz w:val="24"/>
        </w:rPr>
        <w:t>5</w:t>
      </w:r>
      <w:r>
        <w:rPr>
          <w:rFonts w:ascii="宋体" w:hAnsi="宋体" w:cs="宋体"/>
          <w:b/>
          <w:bCs/>
          <w:sz w:val="24"/>
        </w:rPr>
        <w:t xml:space="preserve">  资格</w:t>
      </w:r>
      <w:r>
        <w:rPr>
          <w:rFonts w:hint="eastAsia" w:ascii="宋体" w:hAnsi="宋体" w:cs="宋体"/>
          <w:b/>
          <w:bCs/>
          <w:sz w:val="24"/>
        </w:rPr>
        <w:t>审查</w:t>
      </w:r>
      <w:r>
        <w:rPr>
          <w:rFonts w:ascii="宋体" w:hAnsi="宋体" w:cs="宋体"/>
          <w:b/>
          <w:bCs/>
          <w:sz w:val="24"/>
        </w:rPr>
        <w:t>条件(</w:t>
      </w:r>
      <w:r>
        <w:rPr>
          <w:rFonts w:hint="eastAsia" w:ascii="宋体" w:hAnsi="宋体" w:cs="宋体"/>
          <w:b/>
          <w:bCs/>
          <w:sz w:val="24"/>
        </w:rPr>
        <w:t>主要人员</w:t>
      </w:r>
      <w:r>
        <w:rPr>
          <w:rFonts w:ascii="宋体" w:hAnsi="宋体" w:cs="宋体"/>
          <w:b/>
          <w:bCs/>
          <w:sz w:val="24"/>
        </w:rPr>
        <w:t>最低要求)</w:t>
      </w:r>
    </w:p>
    <w:p>
      <w:pPr>
        <w:ind w:firstLine="200"/>
        <w:rPr>
          <w:rFonts w:ascii="宋体" w:hAnsi="宋体"/>
          <w:sz w:val="24"/>
        </w:rPr>
      </w:pPr>
    </w:p>
    <w:tbl>
      <w:tblPr>
        <w:tblStyle w:val="8"/>
        <w:tblW w:w="5000" w:type="pct"/>
        <w:jc w:val="center"/>
        <w:tblLayout w:type="autofit"/>
        <w:tblCellMar>
          <w:top w:w="0" w:type="dxa"/>
          <w:left w:w="108" w:type="dxa"/>
          <w:bottom w:w="0" w:type="dxa"/>
          <w:right w:w="94" w:type="dxa"/>
        </w:tblCellMar>
      </w:tblPr>
      <w:tblGrid>
        <w:gridCol w:w="1644"/>
        <w:gridCol w:w="905"/>
        <w:gridCol w:w="5959"/>
      </w:tblGrid>
      <w:tr>
        <w:tblPrEx>
          <w:tblCellMar>
            <w:top w:w="0" w:type="dxa"/>
            <w:left w:w="108" w:type="dxa"/>
            <w:bottom w:w="0" w:type="dxa"/>
            <w:right w:w="94" w:type="dxa"/>
          </w:tblCellMar>
        </w:tblPrEx>
        <w:trPr>
          <w:trHeight w:val="553" w:hRule="atLeast"/>
          <w:jc w:val="center"/>
        </w:trPr>
        <w:tc>
          <w:tcPr>
            <w:tcW w:w="966" w:type="pct"/>
            <w:tcBorders>
              <w:top w:val="single" w:color="000000" w:sz="4" w:space="0"/>
              <w:left w:val="single" w:color="000000" w:sz="4" w:space="0"/>
              <w:bottom w:val="nil"/>
              <w:right w:val="single" w:color="000000" w:sz="4" w:space="0"/>
            </w:tcBorders>
            <w:noWrap w:val="0"/>
            <w:vAlign w:val="center"/>
          </w:tcPr>
          <w:p>
            <w:pPr>
              <w:spacing w:line="400" w:lineRule="exact"/>
              <w:ind w:firstLine="200"/>
              <w:jc w:val="center"/>
              <w:rPr>
                <w:rFonts w:ascii="宋体" w:hAnsi="宋体"/>
                <w:sz w:val="24"/>
              </w:rPr>
            </w:pPr>
            <w:r>
              <w:rPr>
                <w:rFonts w:hint="eastAsia" w:ascii="宋体" w:hAnsi="宋体"/>
                <w:sz w:val="24"/>
              </w:rPr>
              <w:t>人员</w:t>
            </w:r>
          </w:p>
        </w:tc>
        <w:tc>
          <w:tcPr>
            <w:tcW w:w="532" w:type="pct"/>
            <w:tcBorders>
              <w:top w:val="single" w:color="000000" w:sz="4" w:space="0"/>
              <w:left w:val="single" w:color="000000" w:sz="4" w:space="0"/>
              <w:bottom w:val="nil"/>
              <w:right w:val="single" w:color="auto" w:sz="4" w:space="0"/>
            </w:tcBorders>
            <w:noWrap w:val="0"/>
            <w:vAlign w:val="center"/>
          </w:tcPr>
          <w:p>
            <w:pPr>
              <w:spacing w:line="400" w:lineRule="exact"/>
              <w:jc w:val="center"/>
              <w:rPr>
                <w:rFonts w:ascii="宋体" w:hAnsi="宋体"/>
                <w:sz w:val="24"/>
              </w:rPr>
            </w:pPr>
            <w:r>
              <w:rPr>
                <w:rFonts w:hint="eastAsia" w:ascii="宋体" w:hAnsi="宋体"/>
                <w:sz w:val="24"/>
              </w:rPr>
              <w:t>数量</w:t>
            </w:r>
          </w:p>
        </w:tc>
        <w:tc>
          <w:tcPr>
            <w:tcW w:w="3502" w:type="pct"/>
            <w:tcBorders>
              <w:top w:val="single" w:color="000000" w:sz="4" w:space="0"/>
              <w:left w:val="single" w:color="auto" w:sz="4" w:space="0"/>
              <w:bottom w:val="nil"/>
              <w:right w:val="single" w:color="000000" w:sz="4" w:space="0"/>
            </w:tcBorders>
            <w:noWrap w:val="0"/>
            <w:vAlign w:val="center"/>
          </w:tcPr>
          <w:p>
            <w:pPr>
              <w:spacing w:line="400" w:lineRule="exact"/>
              <w:jc w:val="center"/>
              <w:rPr>
                <w:rFonts w:ascii="宋体" w:hAnsi="宋体"/>
                <w:sz w:val="24"/>
              </w:rPr>
            </w:pPr>
            <w:r>
              <w:rPr>
                <w:rFonts w:hint="eastAsia" w:ascii="宋体" w:hAnsi="宋体"/>
                <w:sz w:val="24"/>
              </w:rPr>
              <w:t>人员最低要求</w:t>
            </w:r>
          </w:p>
        </w:tc>
      </w:tr>
      <w:tr>
        <w:tblPrEx>
          <w:tblCellMar>
            <w:top w:w="0" w:type="dxa"/>
            <w:left w:w="108" w:type="dxa"/>
            <w:bottom w:w="0" w:type="dxa"/>
            <w:right w:w="94" w:type="dxa"/>
          </w:tblCellMar>
        </w:tblPrEx>
        <w:trPr>
          <w:trHeight w:val="632" w:hRule="atLeast"/>
          <w:jc w:val="center"/>
        </w:trPr>
        <w:tc>
          <w:tcPr>
            <w:tcW w:w="966" w:type="pct"/>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sz w:val="24"/>
              </w:rPr>
            </w:pPr>
            <w:r>
              <w:rPr>
                <w:rFonts w:hint="eastAsia" w:ascii="宋体" w:hAnsi="宋体"/>
                <w:sz w:val="24"/>
              </w:rPr>
              <w:t>项目负责人</w:t>
            </w:r>
          </w:p>
        </w:tc>
        <w:tc>
          <w:tcPr>
            <w:tcW w:w="532" w:type="pct"/>
            <w:tcBorders>
              <w:top w:val="single" w:color="000000" w:sz="4" w:space="0"/>
              <w:left w:val="single" w:color="000000" w:sz="4" w:space="0"/>
              <w:bottom w:val="single" w:color="000000" w:sz="4" w:space="0"/>
              <w:right w:val="single" w:color="auto" w:sz="4" w:space="0"/>
            </w:tcBorders>
            <w:noWrap w:val="0"/>
            <w:vAlign w:val="center"/>
          </w:tcPr>
          <w:p>
            <w:pPr>
              <w:spacing w:line="400" w:lineRule="exact"/>
              <w:jc w:val="center"/>
              <w:rPr>
                <w:rFonts w:ascii="宋体" w:hAnsi="宋体"/>
                <w:sz w:val="24"/>
              </w:rPr>
            </w:pPr>
            <w:r>
              <w:rPr>
                <w:rFonts w:hint="eastAsia" w:ascii="宋体" w:hAnsi="宋体"/>
                <w:sz w:val="24"/>
              </w:rPr>
              <w:t>1</w:t>
            </w:r>
          </w:p>
        </w:tc>
        <w:tc>
          <w:tcPr>
            <w:tcW w:w="3502" w:type="pct"/>
            <w:tcBorders>
              <w:top w:val="single" w:color="000000" w:sz="4" w:space="0"/>
              <w:left w:val="single" w:color="auto" w:sz="4" w:space="0"/>
              <w:bottom w:val="single" w:color="000000" w:sz="4" w:space="0"/>
              <w:right w:val="single" w:color="000000" w:sz="4" w:space="0"/>
            </w:tcBorders>
            <w:noWrap w:val="0"/>
            <w:vAlign w:val="center"/>
          </w:tcPr>
          <w:p>
            <w:pPr>
              <w:spacing w:line="400" w:lineRule="exact"/>
              <w:jc w:val="left"/>
              <w:rPr>
                <w:rFonts w:ascii="宋体" w:hAnsi="宋体"/>
                <w:sz w:val="24"/>
              </w:rPr>
            </w:pPr>
            <w:r>
              <w:rPr>
                <w:rFonts w:hint="eastAsia"/>
                <w:sz w:val="24"/>
              </w:rPr>
              <w:t>近5年内曾担任过一个类似项目的项目负责人。</w:t>
            </w:r>
          </w:p>
        </w:tc>
      </w:tr>
      <w:tr>
        <w:tblPrEx>
          <w:tblCellMar>
            <w:top w:w="0" w:type="dxa"/>
            <w:left w:w="108" w:type="dxa"/>
            <w:bottom w:w="0" w:type="dxa"/>
            <w:right w:w="94" w:type="dxa"/>
          </w:tblCellMar>
        </w:tblPrEx>
        <w:trPr>
          <w:trHeight w:val="542" w:hRule="atLeast"/>
          <w:jc w:val="center"/>
        </w:trPr>
        <w:tc>
          <w:tcPr>
            <w:tcW w:w="966" w:type="pct"/>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eastAsia" w:ascii="宋体" w:hAnsi="宋体"/>
                <w:sz w:val="24"/>
              </w:rPr>
            </w:pPr>
            <w:r>
              <w:rPr>
                <w:rFonts w:hint="eastAsia" w:ascii="宋体" w:hAnsi="宋体"/>
                <w:sz w:val="24"/>
              </w:rPr>
              <w:t>技术负责人</w:t>
            </w:r>
          </w:p>
        </w:tc>
        <w:tc>
          <w:tcPr>
            <w:tcW w:w="532" w:type="pct"/>
            <w:tcBorders>
              <w:top w:val="single" w:color="000000" w:sz="4" w:space="0"/>
              <w:left w:val="single" w:color="000000" w:sz="4" w:space="0"/>
              <w:bottom w:val="single" w:color="000000" w:sz="4" w:space="0"/>
              <w:right w:val="single" w:color="auto" w:sz="4" w:space="0"/>
            </w:tcBorders>
            <w:noWrap w:val="0"/>
            <w:vAlign w:val="center"/>
          </w:tcPr>
          <w:p>
            <w:pPr>
              <w:spacing w:line="400" w:lineRule="exact"/>
              <w:jc w:val="center"/>
              <w:rPr>
                <w:rFonts w:hint="eastAsia" w:ascii="宋体" w:hAnsi="宋体"/>
                <w:sz w:val="24"/>
              </w:rPr>
            </w:pPr>
            <w:r>
              <w:rPr>
                <w:rFonts w:hint="eastAsia" w:ascii="宋体" w:hAnsi="宋体"/>
                <w:sz w:val="24"/>
              </w:rPr>
              <w:t>1</w:t>
            </w:r>
          </w:p>
        </w:tc>
        <w:tc>
          <w:tcPr>
            <w:tcW w:w="3502" w:type="pct"/>
            <w:tcBorders>
              <w:top w:val="single" w:color="000000" w:sz="4" w:space="0"/>
              <w:left w:val="single" w:color="auto" w:sz="4" w:space="0"/>
              <w:bottom w:val="single" w:color="000000" w:sz="4" w:space="0"/>
              <w:right w:val="single" w:color="000000" w:sz="4" w:space="0"/>
            </w:tcBorders>
            <w:noWrap w:val="0"/>
            <w:vAlign w:val="center"/>
          </w:tcPr>
          <w:p>
            <w:pPr>
              <w:spacing w:line="400" w:lineRule="exact"/>
              <w:jc w:val="left"/>
              <w:rPr>
                <w:rFonts w:hint="eastAsia" w:ascii="宋体" w:hAnsi="宋体"/>
                <w:sz w:val="24"/>
              </w:rPr>
            </w:pPr>
            <w:r>
              <w:rPr>
                <w:rFonts w:hint="eastAsia"/>
                <w:sz w:val="24"/>
              </w:rPr>
              <w:t>近5年内曾担任过一个类似项目的技术负责人。</w:t>
            </w:r>
          </w:p>
        </w:tc>
      </w:tr>
      <w:tr>
        <w:tblPrEx>
          <w:tblCellMar>
            <w:top w:w="0" w:type="dxa"/>
            <w:left w:w="108" w:type="dxa"/>
            <w:bottom w:w="0" w:type="dxa"/>
            <w:right w:w="94" w:type="dxa"/>
          </w:tblCellMar>
        </w:tblPrEx>
        <w:trPr>
          <w:trHeight w:val="564" w:hRule="atLeast"/>
          <w:jc w:val="center"/>
        </w:trPr>
        <w:tc>
          <w:tcPr>
            <w:tcW w:w="966" w:type="pct"/>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sz w:val="24"/>
              </w:rPr>
            </w:pPr>
            <w:r>
              <w:rPr>
                <w:rFonts w:hint="eastAsia" w:ascii="宋体" w:hAnsi="宋体"/>
                <w:sz w:val="24"/>
              </w:rPr>
              <w:t>现场技术员</w:t>
            </w:r>
          </w:p>
        </w:tc>
        <w:tc>
          <w:tcPr>
            <w:tcW w:w="532" w:type="pct"/>
            <w:tcBorders>
              <w:top w:val="single" w:color="000000" w:sz="4" w:space="0"/>
              <w:left w:val="single" w:color="000000" w:sz="4" w:space="0"/>
              <w:bottom w:val="single" w:color="000000" w:sz="4" w:space="0"/>
              <w:right w:val="single" w:color="auto" w:sz="4" w:space="0"/>
            </w:tcBorders>
            <w:noWrap w:val="0"/>
            <w:vAlign w:val="center"/>
          </w:tcPr>
          <w:p>
            <w:pPr>
              <w:spacing w:line="400" w:lineRule="exact"/>
              <w:jc w:val="center"/>
              <w:rPr>
                <w:rFonts w:hint="eastAsia" w:ascii="宋体" w:hAnsi="宋体"/>
                <w:sz w:val="24"/>
              </w:rPr>
            </w:pPr>
            <w:r>
              <w:rPr>
                <w:rFonts w:hint="eastAsia" w:ascii="宋体" w:hAnsi="宋体"/>
                <w:sz w:val="24"/>
              </w:rPr>
              <w:t>4</w:t>
            </w:r>
          </w:p>
        </w:tc>
        <w:tc>
          <w:tcPr>
            <w:tcW w:w="3502" w:type="pct"/>
            <w:tcBorders>
              <w:top w:val="single" w:color="000000" w:sz="4" w:space="0"/>
              <w:left w:val="single" w:color="auto" w:sz="4" w:space="0"/>
              <w:bottom w:val="single" w:color="000000" w:sz="4" w:space="0"/>
              <w:right w:val="single" w:color="000000" w:sz="4" w:space="0"/>
            </w:tcBorders>
            <w:noWrap w:val="0"/>
            <w:vAlign w:val="center"/>
          </w:tcPr>
          <w:p>
            <w:pPr>
              <w:spacing w:line="400" w:lineRule="exact"/>
              <w:jc w:val="left"/>
              <w:rPr>
                <w:rFonts w:ascii="宋体" w:hAnsi="宋体"/>
                <w:sz w:val="24"/>
              </w:rPr>
            </w:pPr>
            <w:r>
              <w:rPr>
                <w:rFonts w:hint="eastAsia" w:ascii="宋体" w:hAnsi="宋体"/>
                <w:sz w:val="24"/>
              </w:rPr>
              <w:t>工程师</w:t>
            </w:r>
          </w:p>
        </w:tc>
      </w:tr>
      <w:tr>
        <w:tblPrEx>
          <w:tblCellMar>
            <w:top w:w="0" w:type="dxa"/>
            <w:left w:w="108" w:type="dxa"/>
            <w:bottom w:w="0" w:type="dxa"/>
            <w:right w:w="94" w:type="dxa"/>
          </w:tblCellMar>
        </w:tblPrEx>
        <w:trPr>
          <w:trHeight w:val="558" w:hRule="atLeast"/>
          <w:jc w:val="center"/>
        </w:trPr>
        <w:tc>
          <w:tcPr>
            <w:tcW w:w="966" w:type="pct"/>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eastAsia" w:ascii="宋体" w:hAnsi="宋体"/>
                <w:sz w:val="24"/>
              </w:rPr>
            </w:pPr>
            <w:r>
              <w:rPr>
                <w:rFonts w:hint="eastAsia" w:ascii="宋体" w:hAnsi="宋体"/>
                <w:sz w:val="24"/>
              </w:rPr>
              <w:t>技术顾问</w:t>
            </w:r>
          </w:p>
        </w:tc>
        <w:tc>
          <w:tcPr>
            <w:tcW w:w="532" w:type="pct"/>
            <w:tcBorders>
              <w:top w:val="single" w:color="000000" w:sz="4" w:space="0"/>
              <w:left w:val="single" w:color="000000" w:sz="4" w:space="0"/>
              <w:bottom w:val="single" w:color="000000" w:sz="4" w:space="0"/>
              <w:right w:val="single" w:color="auto" w:sz="4" w:space="0"/>
            </w:tcBorders>
            <w:noWrap w:val="0"/>
            <w:vAlign w:val="center"/>
          </w:tcPr>
          <w:p>
            <w:pPr>
              <w:spacing w:line="400" w:lineRule="exact"/>
              <w:jc w:val="center"/>
              <w:rPr>
                <w:rFonts w:hint="eastAsia" w:ascii="宋体" w:hAnsi="宋体"/>
                <w:sz w:val="24"/>
              </w:rPr>
            </w:pPr>
            <w:r>
              <w:rPr>
                <w:rFonts w:ascii="宋体" w:hAnsi="宋体"/>
                <w:sz w:val="24"/>
              </w:rPr>
              <w:t>1</w:t>
            </w:r>
          </w:p>
        </w:tc>
        <w:tc>
          <w:tcPr>
            <w:tcW w:w="3502" w:type="pct"/>
            <w:tcBorders>
              <w:top w:val="single" w:color="000000" w:sz="4" w:space="0"/>
              <w:left w:val="single" w:color="auto" w:sz="4" w:space="0"/>
              <w:bottom w:val="single" w:color="000000" w:sz="4" w:space="0"/>
              <w:right w:val="single" w:color="000000" w:sz="4" w:space="0"/>
            </w:tcBorders>
            <w:noWrap w:val="0"/>
            <w:vAlign w:val="center"/>
          </w:tcPr>
          <w:p>
            <w:pPr>
              <w:spacing w:line="400" w:lineRule="exact"/>
              <w:jc w:val="left"/>
              <w:rPr>
                <w:rFonts w:ascii="宋体" w:hAnsi="宋体"/>
                <w:sz w:val="24"/>
              </w:rPr>
            </w:pPr>
            <w:r>
              <w:rPr>
                <w:rFonts w:hint="eastAsia" w:ascii="宋体" w:hAnsi="宋体"/>
                <w:sz w:val="24"/>
              </w:rPr>
              <w:t>高级工程师</w:t>
            </w:r>
          </w:p>
        </w:tc>
      </w:tr>
    </w:tbl>
    <w:p>
      <w:pPr>
        <w:spacing w:line="400" w:lineRule="exact"/>
        <w:ind w:firstLine="200"/>
        <w:rPr>
          <w:rFonts w:hint="eastAsia" w:ascii="宋体" w:hAnsi="宋体" w:cs="黑体"/>
          <w:b/>
          <w:sz w:val="24"/>
        </w:rPr>
      </w:pPr>
      <w:r>
        <w:rPr>
          <w:rFonts w:hint="eastAsia" w:ascii="宋体" w:hAnsi="宋体" w:cs="黑体"/>
          <w:b/>
          <w:sz w:val="24"/>
        </w:rPr>
        <w:t>注：</w:t>
      </w:r>
      <w:r>
        <w:rPr>
          <w:rFonts w:hint="eastAsia" w:ascii="宋体" w:hAnsi="宋体" w:cs="黑体"/>
          <w:bCs/>
          <w:sz w:val="24"/>
        </w:rPr>
        <w:t xml:space="preserve">申请人应在申请文件格式附表中填报主要人员，不得低于上表要求，中标之后，遴选人将进行核查，如果填报的主要人员低于上表要求，遴选人有权要求更换。 </w:t>
      </w:r>
    </w:p>
    <w:p>
      <w:pPr>
        <w:snapToGrid w:val="0"/>
        <w:spacing w:line="400" w:lineRule="atLeast"/>
        <w:jc w:val="center"/>
        <w:rPr>
          <w:rFonts w:eastAsia="黑体"/>
          <w:sz w:val="24"/>
        </w:rPr>
      </w:pPr>
    </w:p>
    <w:p>
      <w:pPr>
        <w:snapToGrid w:val="0"/>
        <w:spacing w:line="400" w:lineRule="atLeast"/>
        <w:jc w:val="center"/>
        <w:rPr>
          <w:rFonts w:ascii="宋体" w:hAnsi="宋体" w:cs="宋体"/>
          <w:b/>
          <w:bCs/>
          <w:sz w:val="24"/>
        </w:rPr>
      </w:pPr>
      <w:r>
        <w:rPr>
          <w:rFonts w:ascii="宋体" w:hAnsi="宋体" w:cs="宋体"/>
          <w:b/>
          <w:bCs/>
          <w:sz w:val="24"/>
        </w:rPr>
        <w:t>附录</w:t>
      </w:r>
      <w:r>
        <w:rPr>
          <w:rFonts w:hint="eastAsia" w:ascii="宋体" w:hAnsi="宋体" w:cs="宋体"/>
          <w:b/>
          <w:bCs/>
          <w:sz w:val="24"/>
        </w:rPr>
        <w:t>6</w:t>
      </w:r>
      <w:r>
        <w:rPr>
          <w:rFonts w:ascii="宋体" w:hAnsi="宋体" w:cs="宋体"/>
          <w:b/>
          <w:bCs/>
          <w:sz w:val="24"/>
        </w:rPr>
        <w:t xml:space="preserve">  资格</w:t>
      </w:r>
      <w:r>
        <w:rPr>
          <w:rFonts w:hint="eastAsia" w:ascii="宋体" w:hAnsi="宋体" w:cs="宋体"/>
          <w:b/>
          <w:bCs/>
          <w:sz w:val="24"/>
        </w:rPr>
        <w:t>审查</w:t>
      </w:r>
      <w:r>
        <w:rPr>
          <w:rFonts w:ascii="宋体" w:hAnsi="宋体" w:cs="宋体"/>
          <w:b/>
          <w:bCs/>
          <w:sz w:val="24"/>
        </w:rPr>
        <w:t>条件(</w:t>
      </w:r>
      <w:r>
        <w:rPr>
          <w:rFonts w:hint="eastAsia" w:ascii="宋体" w:hAnsi="宋体" w:cs="宋体"/>
          <w:b/>
          <w:bCs/>
          <w:sz w:val="24"/>
        </w:rPr>
        <w:t>主要机械设备</w:t>
      </w:r>
      <w:r>
        <w:rPr>
          <w:rFonts w:ascii="宋体" w:hAnsi="宋体" w:cs="宋体"/>
          <w:b/>
          <w:bCs/>
          <w:sz w:val="24"/>
        </w:rPr>
        <w:t>最低要求)</w:t>
      </w:r>
    </w:p>
    <w:p>
      <w:pPr>
        <w:snapToGrid w:val="0"/>
        <w:spacing w:line="400" w:lineRule="atLeast"/>
        <w:jc w:val="center"/>
        <w:rPr>
          <w:rFonts w:eastAsia="黑体"/>
          <w:sz w:val="24"/>
        </w:rPr>
      </w:pPr>
    </w:p>
    <w:tbl>
      <w:tblPr>
        <w:tblStyle w:val="8"/>
        <w:tblW w:w="8273" w:type="dxa"/>
        <w:jc w:val="center"/>
        <w:tblLayout w:type="fixed"/>
        <w:tblCellMar>
          <w:top w:w="15" w:type="dxa"/>
          <w:left w:w="15" w:type="dxa"/>
          <w:bottom w:w="15" w:type="dxa"/>
          <w:right w:w="15" w:type="dxa"/>
        </w:tblCellMar>
      </w:tblPr>
      <w:tblGrid>
        <w:gridCol w:w="991"/>
        <w:gridCol w:w="3118"/>
        <w:gridCol w:w="1388"/>
        <w:gridCol w:w="1388"/>
        <w:gridCol w:w="1388"/>
      </w:tblGrid>
      <w:tr>
        <w:tblPrEx>
          <w:tblCellMar>
            <w:top w:w="15" w:type="dxa"/>
            <w:left w:w="15" w:type="dxa"/>
            <w:bottom w:w="15" w:type="dxa"/>
            <w:right w:w="15" w:type="dxa"/>
          </w:tblCellMar>
        </w:tblPrEx>
        <w:trPr>
          <w:trHeight w:val="384" w:hRule="atLeast"/>
          <w:jc w:val="center"/>
        </w:trPr>
        <w:tc>
          <w:tcPr>
            <w:tcW w:w="991" w:type="dxa"/>
            <w:vMerge w:val="restart"/>
            <w:tcBorders>
              <w:top w:val="single" w:color="000000" w:sz="12" w:space="0"/>
              <w:left w:val="single" w:color="000000" w:sz="12" w:space="0"/>
              <w:bottom w:val="single" w:color="000000" w:sz="4" w:space="0"/>
              <w:right w:val="single" w:color="000000" w:sz="4" w:space="0"/>
            </w:tcBorders>
            <w:noWrap w:val="0"/>
            <w:vAlign w:val="center"/>
          </w:tcPr>
          <w:p>
            <w:pPr>
              <w:widowControl/>
              <w:jc w:val="center"/>
              <w:textAlignment w:val="center"/>
              <w:rPr>
                <w:rFonts w:ascii="Helv" w:hAnsi="Helv" w:eastAsia="Helv" w:cs="Helv"/>
                <w:color w:val="000000"/>
                <w:sz w:val="24"/>
              </w:rPr>
            </w:pPr>
            <w:r>
              <w:rPr>
                <w:rFonts w:ascii="Helv" w:hAnsi="Helv" w:eastAsia="Helv" w:cs="Helv"/>
                <w:color w:val="000000"/>
                <w:sz w:val="24"/>
                <w:lang w:bidi="ar"/>
              </w:rPr>
              <w:t>序号</w:t>
            </w:r>
          </w:p>
        </w:tc>
        <w:tc>
          <w:tcPr>
            <w:tcW w:w="3118" w:type="dxa"/>
            <w:vMerge w:val="restart"/>
            <w:tcBorders>
              <w:top w:val="single" w:color="000000" w:sz="12"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名称</w:t>
            </w:r>
          </w:p>
        </w:tc>
        <w:tc>
          <w:tcPr>
            <w:tcW w:w="1388" w:type="dxa"/>
            <w:vMerge w:val="restart"/>
            <w:tcBorders>
              <w:top w:val="single" w:color="000000" w:sz="12" w:space="0"/>
              <w:left w:val="single" w:color="000000" w:sz="4" w:space="0"/>
              <w:bottom w:val="single" w:color="000000" w:sz="4" w:space="0"/>
              <w:right w:val="single" w:color="000000" w:sz="4" w:space="0"/>
            </w:tcBorders>
            <w:noWrap w:val="0"/>
            <w:vAlign w:val="center"/>
          </w:tcPr>
          <w:p>
            <w:pPr>
              <w:widowControl/>
              <w:jc w:val="center"/>
              <w:textAlignment w:val="center"/>
              <w:rPr>
                <w:rFonts w:ascii="Helv" w:hAnsi="Helv" w:eastAsia="Helv" w:cs="Helv"/>
                <w:color w:val="000000"/>
                <w:sz w:val="24"/>
              </w:rPr>
            </w:pPr>
            <w:r>
              <w:rPr>
                <w:rFonts w:ascii="Helv" w:hAnsi="Helv" w:eastAsia="Helv" w:cs="Helv"/>
                <w:color w:val="000000"/>
                <w:sz w:val="24"/>
                <w:lang w:bidi="ar"/>
              </w:rPr>
              <w:t>单位</w:t>
            </w:r>
          </w:p>
        </w:tc>
        <w:tc>
          <w:tcPr>
            <w:tcW w:w="1388" w:type="dxa"/>
            <w:vMerge w:val="restart"/>
            <w:tcBorders>
              <w:top w:val="single" w:color="000000" w:sz="12"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数量</w:t>
            </w:r>
          </w:p>
        </w:tc>
        <w:tc>
          <w:tcPr>
            <w:tcW w:w="1388" w:type="dxa"/>
            <w:vMerge w:val="restart"/>
            <w:tcBorders>
              <w:top w:val="single" w:color="000000" w:sz="12" w:space="0"/>
              <w:left w:val="single" w:color="000000" w:sz="4" w:space="0"/>
              <w:bottom w:val="single" w:color="000000" w:sz="4" w:space="0"/>
              <w:right w:val="single" w:color="000000" w:sz="12"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备注</w:t>
            </w:r>
          </w:p>
        </w:tc>
      </w:tr>
      <w:tr>
        <w:tblPrEx>
          <w:tblCellMar>
            <w:top w:w="15" w:type="dxa"/>
            <w:left w:w="15" w:type="dxa"/>
            <w:bottom w:w="15" w:type="dxa"/>
            <w:right w:w="15" w:type="dxa"/>
          </w:tblCellMar>
        </w:tblPrEx>
        <w:trPr>
          <w:trHeight w:val="312" w:hRule="atLeast"/>
          <w:jc w:val="center"/>
        </w:trPr>
        <w:tc>
          <w:tcPr>
            <w:tcW w:w="991" w:type="dxa"/>
            <w:vMerge w:val="continue"/>
            <w:tcBorders>
              <w:top w:val="single" w:color="000000" w:sz="12" w:space="0"/>
              <w:left w:val="single" w:color="000000" w:sz="12" w:space="0"/>
              <w:bottom w:val="single" w:color="000000" w:sz="4" w:space="0"/>
              <w:right w:val="single" w:color="000000" w:sz="4" w:space="0"/>
            </w:tcBorders>
            <w:noWrap w:val="0"/>
            <w:vAlign w:val="center"/>
          </w:tcPr>
          <w:p>
            <w:pPr>
              <w:jc w:val="center"/>
              <w:rPr>
                <w:rFonts w:ascii="Helv" w:hAnsi="Helv" w:eastAsia="Helv" w:cs="Helv"/>
                <w:color w:val="000000"/>
                <w:sz w:val="24"/>
              </w:rPr>
            </w:pPr>
          </w:p>
        </w:tc>
        <w:tc>
          <w:tcPr>
            <w:tcW w:w="3118" w:type="dxa"/>
            <w:vMerge w:val="continue"/>
            <w:tcBorders>
              <w:top w:val="single" w:color="000000" w:sz="12"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388" w:type="dxa"/>
            <w:vMerge w:val="continue"/>
            <w:tcBorders>
              <w:top w:val="single" w:color="000000" w:sz="12" w:space="0"/>
              <w:left w:val="single" w:color="000000" w:sz="4" w:space="0"/>
              <w:bottom w:val="single" w:color="000000" w:sz="4" w:space="0"/>
              <w:right w:val="single" w:color="000000" w:sz="4" w:space="0"/>
            </w:tcBorders>
            <w:noWrap w:val="0"/>
            <w:vAlign w:val="center"/>
          </w:tcPr>
          <w:p>
            <w:pPr>
              <w:jc w:val="center"/>
              <w:rPr>
                <w:rFonts w:ascii="Helv" w:hAnsi="Helv" w:eastAsia="Helv" w:cs="Helv"/>
                <w:color w:val="000000"/>
                <w:sz w:val="24"/>
              </w:rPr>
            </w:pPr>
          </w:p>
        </w:tc>
        <w:tc>
          <w:tcPr>
            <w:tcW w:w="1388" w:type="dxa"/>
            <w:vMerge w:val="continue"/>
            <w:tcBorders>
              <w:top w:val="single" w:color="000000" w:sz="12"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388" w:type="dxa"/>
            <w:vMerge w:val="continue"/>
            <w:tcBorders>
              <w:top w:val="single" w:color="000000" w:sz="12"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4"/>
              </w:rPr>
            </w:pPr>
          </w:p>
        </w:tc>
      </w:tr>
      <w:tr>
        <w:tblPrEx>
          <w:tblCellMar>
            <w:top w:w="15" w:type="dxa"/>
            <w:left w:w="15" w:type="dxa"/>
            <w:bottom w:w="15" w:type="dxa"/>
            <w:right w:w="15" w:type="dxa"/>
          </w:tblCellMar>
        </w:tblPrEx>
        <w:trPr>
          <w:trHeight w:val="394" w:hRule="atLeast"/>
          <w:jc w:val="center"/>
        </w:trPr>
        <w:tc>
          <w:tcPr>
            <w:tcW w:w="991"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1</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地震波超前预报探测仪</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台</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1</w:t>
            </w:r>
          </w:p>
        </w:tc>
        <w:tc>
          <w:tcPr>
            <w:tcW w:w="138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4"/>
              </w:rPr>
            </w:pPr>
          </w:p>
        </w:tc>
      </w:tr>
      <w:tr>
        <w:tblPrEx>
          <w:tblCellMar>
            <w:top w:w="15" w:type="dxa"/>
            <w:left w:w="15" w:type="dxa"/>
            <w:bottom w:w="15" w:type="dxa"/>
            <w:right w:w="15" w:type="dxa"/>
          </w:tblCellMar>
        </w:tblPrEx>
        <w:trPr>
          <w:trHeight w:val="394" w:hRule="atLeast"/>
          <w:jc w:val="center"/>
        </w:trPr>
        <w:tc>
          <w:tcPr>
            <w:tcW w:w="991"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2</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 xml:space="preserve"> 瓦斯监测仪</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台</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1</w:t>
            </w:r>
          </w:p>
        </w:tc>
        <w:tc>
          <w:tcPr>
            <w:tcW w:w="138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4"/>
              </w:rPr>
            </w:pPr>
          </w:p>
        </w:tc>
      </w:tr>
      <w:tr>
        <w:tblPrEx>
          <w:tblCellMar>
            <w:top w:w="15" w:type="dxa"/>
            <w:left w:w="15" w:type="dxa"/>
            <w:bottom w:w="15" w:type="dxa"/>
            <w:right w:w="15" w:type="dxa"/>
          </w:tblCellMar>
        </w:tblPrEx>
        <w:trPr>
          <w:trHeight w:val="394" w:hRule="atLeast"/>
          <w:jc w:val="center"/>
        </w:trPr>
        <w:tc>
          <w:tcPr>
            <w:tcW w:w="991"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2</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红外线探测仪</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台</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1</w:t>
            </w:r>
          </w:p>
        </w:tc>
        <w:tc>
          <w:tcPr>
            <w:tcW w:w="138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4"/>
              </w:rPr>
            </w:pPr>
          </w:p>
        </w:tc>
      </w:tr>
      <w:tr>
        <w:tblPrEx>
          <w:tblCellMar>
            <w:top w:w="15" w:type="dxa"/>
            <w:left w:w="15" w:type="dxa"/>
            <w:bottom w:w="15" w:type="dxa"/>
            <w:right w:w="15" w:type="dxa"/>
          </w:tblCellMar>
        </w:tblPrEx>
        <w:trPr>
          <w:trHeight w:val="394" w:hRule="atLeast"/>
          <w:jc w:val="center"/>
        </w:trPr>
        <w:tc>
          <w:tcPr>
            <w:tcW w:w="991"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3</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水准仪</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台</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2</w:t>
            </w:r>
          </w:p>
        </w:tc>
        <w:tc>
          <w:tcPr>
            <w:tcW w:w="138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4"/>
              </w:rPr>
            </w:pPr>
          </w:p>
        </w:tc>
      </w:tr>
      <w:tr>
        <w:tblPrEx>
          <w:tblCellMar>
            <w:top w:w="15" w:type="dxa"/>
            <w:left w:w="15" w:type="dxa"/>
            <w:bottom w:w="15" w:type="dxa"/>
            <w:right w:w="15" w:type="dxa"/>
          </w:tblCellMar>
        </w:tblPrEx>
        <w:trPr>
          <w:trHeight w:val="394" w:hRule="atLeast"/>
          <w:jc w:val="center"/>
        </w:trPr>
        <w:tc>
          <w:tcPr>
            <w:tcW w:w="991"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4</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全站仪</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台</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1</w:t>
            </w:r>
          </w:p>
        </w:tc>
        <w:tc>
          <w:tcPr>
            <w:tcW w:w="138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4"/>
              </w:rPr>
            </w:pPr>
          </w:p>
        </w:tc>
      </w:tr>
      <w:tr>
        <w:tblPrEx>
          <w:tblCellMar>
            <w:top w:w="15" w:type="dxa"/>
            <w:left w:w="15" w:type="dxa"/>
            <w:bottom w:w="15" w:type="dxa"/>
            <w:right w:w="15" w:type="dxa"/>
          </w:tblCellMar>
        </w:tblPrEx>
        <w:trPr>
          <w:trHeight w:val="394" w:hRule="atLeast"/>
          <w:jc w:val="center"/>
        </w:trPr>
        <w:tc>
          <w:tcPr>
            <w:tcW w:w="991"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5</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收敛计</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个</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5</w:t>
            </w:r>
          </w:p>
        </w:tc>
        <w:tc>
          <w:tcPr>
            <w:tcW w:w="138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4"/>
              </w:rPr>
            </w:pPr>
          </w:p>
        </w:tc>
      </w:tr>
      <w:tr>
        <w:tblPrEx>
          <w:tblCellMar>
            <w:top w:w="15" w:type="dxa"/>
            <w:left w:w="15" w:type="dxa"/>
            <w:bottom w:w="15" w:type="dxa"/>
            <w:right w:w="15" w:type="dxa"/>
          </w:tblCellMar>
        </w:tblPrEx>
        <w:trPr>
          <w:trHeight w:val="394" w:hRule="atLeast"/>
          <w:jc w:val="center"/>
        </w:trPr>
        <w:tc>
          <w:tcPr>
            <w:tcW w:w="991"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6</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地质罗盘</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个</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5</w:t>
            </w:r>
          </w:p>
        </w:tc>
        <w:tc>
          <w:tcPr>
            <w:tcW w:w="138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4"/>
              </w:rPr>
            </w:pPr>
          </w:p>
        </w:tc>
      </w:tr>
      <w:tr>
        <w:tblPrEx>
          <w:tblCellMar>
            <w:top w:w="15" w:type="dxa"/>
            <w:left w:w="15" w:type="dxa"/>
            <w:bottom w:w="15" w:type="dxa"/>
            <w:right w:w="15" w:type="dxa"/>
          </w:tblCellMar>
        </w:tblPrEx>
        <w:trPr>
          <w:trHeight w:val="394" w:hRule="atLeast"/>
          <w:jc w:val="center"/>
        </w:trPr>
        <w:tc>
          <w:tcPr>
            <w:tcW w:w="991"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7</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地质锤</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个</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5</w:t>
            </w:r>
          </w:p>
        </w:tc>
        <w:tc>
          <w:tcPr>
            <w:tcW w:w="138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4"/>
              </w:rPr>
            </w:pPr>
          </w:p>
        </w:tc>
      </w:tr>
      <w:tr>
        <w:tblPrEx>
          <w:tblCellMar>
            <w:top w:w="15" w:type="dxa"/>
            <w:left w:w="15" w:type="dxa"/>
            <w:bottom w:w="15" w:type="dxa"/>
            <w:right w:w="15" w:type="dxa"/>
          </w:tblCellMar>
        </w:tblPrEx>
        <w:trPr>
          <w:trHeight w:val="394" w:hRule="atLeast"/>
          <w:jc w:val="center"/>
        </w:trPr>
        <w:tc>
          <w:tcPr>
            <w:tcW w:w="991"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8</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读数显微镜</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套</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2</w:t>
            </w:r>
          </w:p>
        </w:tc>
        <w:tc>
          <w:tcPr>
            <w:tcW w:w="138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4"/>
              </w:rPr>
            </w:pPr>
          </w:p>
        </w:tc>
      </w:tr>
      <w:tr>
        <w:tblPrEx>
          <w:tblCellMar>
            <w:top w:w="15" w:type="dxa"/>
            <w:left w:w="15" w:type="dxa"/>
            <w:bottom w:w="15" w:type="dxa"/>
            <w:right w:w="15" w:type="dxa"/>
          </w:tblCellMar>
        </w:tblPrEx>
        <w:trPr>
          <w:trHeight w:val="394" w:hRule="atLeast"/>
          <w:jc w:val="center"/>
        </w:trPr>
        <w:tc>
          <w:tcPr>
            <w:tcW w:w="991"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9</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笔记本电脑</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台</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1</w:t>
            </w:r>
          </w:p>
        </w:tc>
        <w:tc>
          <w:tcPr>
            <w:tcW w:w="138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4"/>
              </w:rPr>
            </w:pPr>
          </w:p>
        </w:tc>
      </w:tr>
      <w:tr>
        <w:tblPrEx>
          <w:tblCellMar>
            <w:top w:w="15" w:type="dxa"/>
            <w:left w:w="15" w:type="dxa"/>
            <w:bottom w:w="15" w:type="dxa"/>
            <w:right w:w="15" w:type="dxa"/>
          </w:tblCellMar>
        </w:tblPrEx>
        <w:trPr>
          <w:trHeight w:val="394" w:hRule="atLeast"/>
          <w:jc w:val="center"/>
        </w:trPr>
        <w:tc>
          <w:tcPr>
            <w:tcW w:w="991"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10</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数码相机</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台</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2</w:t>
            </w:r>
          </w:p>
        </w:tc>
        <w:tc>
          <w:tcPr>
            <w:tcW w:w="138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4"/>
              </w:rPr>
            </w:pPr>
          </w:p>
        </w:tc>
      </w:tr>
      <w:tr>
        <w:tblPrEx>
          <w:tblCellMar>
            <w:top w:w="15" w:type="dxa"/>
            <w:left w:w="15" w:type="dxa"/>
            <w:bottom w:w="15" w:type="dxa"/>
            <w:right w:w="15" w:type="dxa"/>
          </w:tblCellMar>
        </w:tblPrEx>
        <w:trPr>
          <w:trHeight w:val="394" w:hRule="atLeast"/>
          <w:jc w:val="center"/>
        </w:trPr>
        <w:tc>
          <w:tcPr>
            <w:tcW w:w="991"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11</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工作车辆</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台</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lang w:bidi="ar"/>
              </w:rPr>
              <w:t>1</w:t>
            </w:r>
          </w:p>
        </w:tc>
        <w:tc>
          <w:tcPr>
            <w:tcW w:w="138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4"/>
              </w:rPr>
            </w:pPr>
          </w:p>
        </w:tc>
      </w:tr>
    </w:tbl>
    <w:p>
      <w:pPr>
        <w:spacing w:line="400" w:lineRule="exact"/>
        <w:ind w:firstLine="240" w:firstLineChars="100"/>
        <w:rPr>
          <w:rFonts w:ascii="宋体" w:hAnsi="宋体" w:cs="黑体"/>
          <w:bCs/>
          <w:sz w:val="24"/>
        </w:rPr>
      </w:pPr>
      <w:r>
        <w:rPr>
          <w:rFonts w:hint="eastAsia" w:ascii="宋体" w:hAnsi="宋体" w:cs="黑体"/>
          <w:bCs/>
          <w:sz w:val="24"/>
        </w:rPr>
        <w:t>注：本表在申请时不须填写，待中选后按上述要求填报投入合同包的主要机械设备。</w:t>
      </w:r>
    </w:p>
    <w:p>
      <w:pPr>
        <w:spacing w:line="400" w:lineRule="exact"/>
        <w:ind w:firstLine="240" w:firstLineChars="100"/>
        <w:rPr>
          <w:rFonts w:ascii="宋体" w:hAnsi="宋体" w:cs="黑体"/>
          <w:bCs/>
          <w:sz w:val="24"/>
        </w:rPr>
      </w:pPr>
    </w:p>
    <w:p>
      <w:pPr>
        <w:pStyle w:val="7"/>
        <w:ind w:left="0" w:leftChars="0" w:firstLine="0" w:firstLineChars="0"/>
        <w:rPr>
          <w:rFonts w:ascii="宋体" w:hAnsi="宋体" w:cs="黑体"/>
          <w:bCs/>
          <w:sz w:val="24"/>
        </w:rPr>
      </w:pPr>
    </w:p>
    <w:p>
      <w:pPr>
        <w:pStyle w:val="7"/>
        <w:ind w:left="0" w:leftChars="0" w:firstLine="0" w:firstLineChars="0"/>
        <w:rPr>
          <w:rFonts w:ascii="宋体" w:hAnsi="宋体" w:cs="黑体"/>
          <w:bCs/>
          <w:sz w:val="24"/>
        </w:rPr>
      </w:pPr>
    </w:p>
    <w:p>
      <w:pPr>
        <w:pStyle w:val="7"/>
        <w:ind w:left="0" w:leftChars="0" w:firstLine="0" w:firstLineChars="0"/>
        <w:rPr>
          <w:rFonts w:ascii="宋体" w:hAnsi="宋体" w:cs="黑体"/>
          <w:bCs/>
          <w:sz w:val="24"/>
        </w:rPr>
      </w:pPr>
    </w:p>
    <w:p>
      <w:pPr>
        <w:pStyle w:val="7"/>
        <w:ind w:left="0" w:leftChars="0" w:firstLine="0" w:firstLineChars="0"/>
        <w:rPr>
          <w:rFonts w:ascii="宋体" w:hAnsi="宋体" w:cs="黑体"/>
          <w:bCs/>
          <w:sz w:val="24"/>
        </w:rPr>
      </w:pPr>
    </w:p>
    <w:p>
      <w:pPr>
        <w:pStyle w:val="7"/>
        <w:ind w:left="0" w:leftChars="0" w:firstLine="0" w:firstLineChars="0"/>
        <w:rPr>
          <w:rFonts w:ascii="宋体" w:hAnsi="宋体" w:cs="黑体"/>
          <w:bCs/>
          <w:sz w:val="24"/>
        </w:rPr>
      </w:pPr>
    </w:p>
    <w:p>
      <w:pPr>
        <w:pStyle w:val="7"/>
        <w:ind w:left="0" w:leftChars="0" w:firstLine="0" w:firstLineChars="0"/>
        <w:rPr>
          <w:rFonts w:ascii="宋体" w:hAnsi="宋体" w:cs="黑体"/>
          <w:bCs/>
          <w:sz w:val="24"/>
        </w:rPr>
      </w:pPr>
    </w:p>
    <w:p>
      <w:pPr>
        <w:pStyle w:val="7"/>
        <w:ind w:left="0" w:leftChars="0" w:firstLine="0" w:firstLineChars="0"/>
        <w:rPr>
          <w:rFonts w:ascii="宋体" w:hAnsi="宋体" w:cs="黑体"/>
          <w:bCs/>
          <w:sz w:val="24"/>
        </w:rPr>
      </w:pPr>
    </w:p>
    <w:p>
      <w:pPr>
        <w:pStyle w:val="7"/>
        <w:ind w:left="0" w:leftChars="0" w:firstLine="0" w:firstLineChars="0"/>
        <w:rPr>
          <w:rFonts w:ascii="宋体" w:hAnsi="宋体" w:cs="黑体"/>
          <w:bCs/>
          <w:sz w:val="24"/>
        </w:rPr>
      </w:pPr>
    </w:p>
    <w:p>
      <w:pPr>
        <w:pStyle w:val="7"/>
        <w:ind w:left="0" w:leftChars="0" w:firstLine="0" w:firstLineChars="0"/>
        <w:rPr>
          <w:rFonts w:ascii="宋体" w:hAnsi="宋体" w:cs="黑体"/>
          <w:bCs/>
          <w:sz w:val="24"/>
        </w:rPr>
      </w:pPr>
    </w:p>
    <w:p>
      <w:pPr>
        <w:pStyle w:val="7"/>
        <w:ind w:left="0" w:leftChars="0" w:firstLine="0" w:firstLineChars="0"/>
        <w:rPr>
          <w:rFonts w:ascii="宋体" w:hAnsi="宋体" w:cs="黑体"/>
          <w:bCs/>
          <w:sz w:val="24"/>
        </w:rPr>
      </w:pPr>
    </w:p>
    <w:p>
      <w:pPr>
        <w:pStyle w:val="7"/>
        <w:ind w:left="0" w:leftChars="0" w:firstLine="0" w:firstLineChars="0"/>
        <w:rPr>
          <w:rFonts w:ascii="宋体" w:hAnsi="宋体" w:cs="黑体"/>
          <w:bCs/>
          <w:sz w:val="24"/>
        </w:rPr>
      </w:pPr>
    </w:p>
    <w:p>
      <w:pPr>
        <w:pStyle w:val="7"/>
        <w:ind w:left="0" w:leftChars="0" w:firstLine="0" w:firstLineChars="0"/>
        <w:rPr>
          <w:rFonts w:ascii="宋体" w:hAnsi="宋体" w:cs="黑体"/>
          <w:bCs/>
          <w:sz w:val="24"/>
        </w:rPr>
      </w:pPr>
    </w:p>
    <w:p>
      <w:pPr>
        <w:pStyle w:val="7"/>
        <w:ind w:left="0" w:leftChars="0" w:firstLine="0" w:firstLineChars="0"/>
        <w:rPr>
          <w:rFonts w:hint="eastAsia" w:ascii="宋体" w:hAnsi="宋体" w:cs="黑体"/>
          <w:bCs/>
          <w:sz w:val="24"/>
        </w:rPr>
      </w:pPr>
    </w:p>
    <w:p>
      <w:pPr>
        <w:pStyle w:val="7"/>
        <w:ind w:left="0" w:leftChars="0" w:firstLine="0" w:firstLineChars="0"/>
        <w:rPr>
          <w:rFonts w:hint="eastAsia" w:ascii="宋体" w:hAnsi="宋体" w:cs="黑体"/>
          <w:bCs/>
          <w:sz w:val="24"/>
        </w:rPr>
      </w:pPr>
      <w:bookmarkStart w:id="0" w:name="_Hlk49180324"/>
      <w:r>
        <w:rPr>
          <w:rFonts w:hint="eastAsia" w:ascii="宋体" w:hAnsi="宋体" w:cs="宋体"/>
          <w:b/>
          <w:bCs/>
          <w:color w:val="000000"/>
          <w:sz w:val="24"/>
        </w:rPr>
        <w:t>附件</w:t>
      </w:r>
      <w:r>
        <w:rPr>
          <w:rFonts w:ascii="宋体" w:hAnsi="宋体" w:cs="宋体"/>
          <w:b/>
          <w:bCs/>
          <w:color w:val="000000"/>
          <w:sz w:val="24"/>
        </w:rPr>
        <w:t>2</w:t>
      </w:r>
    </w:p>
    <w:p>
      <w:pPr>
        <w:pStyle w:val="7"/>
        <w:ind w:left="0" w:leftChars="0" w:firstLine="0" w:firstLineChars="0"/>
        <w:jc w:val="center"/>
        <w:rPr>
          <w:rFonts w:hint="eastAsia" w:ascii="宋体" w:hAnsi="宋体" w:cs="黑体"/>
          <w:bCs/>
          <w:sz w:val="24"/>
        </w:rPr>
      </w:pPr>
      <w:r>
        <w:rPr>
          <w:rFonts w:hint="eastAsia" w:ascii="宋体" w:hAnsi="宋体" w:cs="宋体"/>
          <w:b/>
          <w:bCs/>
          <w:sz w:val="24"/>
        </w:rPr>
        <w:t>作业内容</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1153"/>
        <w:gridCol w:w="5797"/>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817" w:type="dxa"/>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序号</w:t>
            </w:r>
          </w:p>
        </w:tc>
        <w:tc>
          <w:tcPr>
            <w:tcW w:w="1276" w:type="dxa"/>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项目内容</w:t>
            </w:r>
          </w:p>
        </w:tc>
        <w:tc>
          <w:tcPr>
            <w:tcW w:w="6379" w:type="dxa"/>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作业内容</w:t>
            </w:r>
          </w:p>
        </w:tc>
        <w:tc>
          <w:tcPr>
            <w:tcW w:w="872" w:type="dxa"/>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w:t>
            </w:r>
          </w:p>
        </w:tc>
        <w:tc>
          <w:tcPr>
            <w:tcW w:w="1276" w:type="dxa"/>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隧道监控量测及超前地质预报</w:t>
            </w:r>
          </w:p>
        </w:tc>
        <w:tc>
          <w:tcPr>
            <w:tcW w:w="6379" w:type="dxa"/>
            <w:noWrap w:val="0"/>
            <w:vAlign w:val="top"/>
          </w:tcPr>
          <w:p>
            <w:pPr>
              <w:widowControl/>
              <w:jc w:val="left"/>
              <w:textAlignment w:val="center"/>
              <w:rPr>
                <w:rFonts w:hint="eastAsia" w:ascii="宋体" w:hAnsi="宋体" w:cs="宋体"/>
                <w:color w:val="000000"/>
                <w:sz w:val="24"/>
                <w:lang w:bidi="ar"/>
              </w:rPr>
            </w:pPr>
            <w:r>
              <w:rPr>
                <w:rFonts w:hint="eastAsia" w:ascii="宋体" w:hAnsi="宋体" w:cs="宋体"/>
                <w:color w:val="000000"/>
                <w:sz w:val="24"/>
                <w:lang w:bidi="ar"/>
              </w:rPr>
              <w:t>1.技术服务项目</w:t>
            </w:r>
          </w:p>
          <w:p>
            <w:pPr>
              <w:widowControl/>
              <w:jc w:val="left"/>
              <w:textAlignment w:val="center"/>
              <w:rPr>
                <w:rFonts w:hint="eastAsia" w:ascii="宋体" w:hAnsi="宋体" w:cs="宋体"/>
                <w:color w:val="000000"/>
                <w:sz w:val="24"/>
                <w:lang w:bidi="ar"/>
              </w:rPr>
            </w:pPr>
            <w:r>
              <w:rPr>
                <w:rFonts w:hint="eastAsia" w:ascii="宋体" w:hAnsi="宋体" w:cs="宋体"/>
                <w:color w:val="000000"/>
                <w:sz w:val="24"/>
                <w:lang w:bidi="ar"/>
              </w:rPr>
              <w:t>1.1、监控量测</w:t>
            </w:r>
          </w:p>
          <w:p>
            <w:pPr>
              <w:widowControl/>
              <w:jc w:val="left"/>
              <w:textAlignment w:val="center"/>
              <w:rPr>
                <w:rFonts w:hint="eastAsia" w:ascii="宋体" w:hAnsi="宋体" w:cs="宋体"/>
                <w:color w:val="000000"/>
                <w:sz w:val="24"/>
                <w:lang w:bidi="ar"/>
              </w:rPr>
            </w:pPr>
            <w:r>
              <w:rPr>
                <w:rFonts w:hint="eastAsia" w:ascii="宋体" w:hAnsi="宋体" w:cs="宋体"/>
                <w:color w:val="000000"/>
                <w:sz w:val="24"/>
                <w:lang w:bidi="ar"/>
              </w:rPr>
              <w:t>必测项目：泄水洞工程地质调绘、拱顶下沉及水平收敛、地表下沉、瓦斯监测；峡口隧道主线右幅洞内拱顶沉降与周边收敛。</w:t>
            </w:r>
          </w:p>
          <w:p>
            <w:pPr>
              <w:widowControl/>
              <w:jc w:val="left"/>
              <w:textAlignment w:val="center"/>
              <w:rPr>
                <w:rFonts w:hint="eastAsia" w:ascii="宋体" w:hAnsi="宋体" w:cs="宋体"/>
                <w:color w:val="000000"/>
                <w:sz w:val="24"/>
                <w:lang w:bidi="ar"/>
              </w:rPr>
            </w:pPr>
            <w:r>
              <w:rPr>
                <w:rFonts w:hint="eastAsia" w:ascii="宋体" w:hAnsi="宋体" w:cs="宋体"/>
                <w:color w:val="000000"/>
                <w:sz w:val="24"/>
                <w:lang w:bidi="ar"/>
              </w:rPr>
              <w:t>选测项目：围岩内部位移量测、锚杆轴力量测、接触压力量测、应力量测、衬砌裂缝监测、围岩弹性波测试、锚杆拉拔试验；</w:t>
            </w:r>
          </w:p>
          <w:p>
            <w:pPr>
              <w:widowControl/>
              <w:jc w:val="left"/>
              <w:textAlignment w:val="center"/>
              <w:rPr>
                <w:rFonts w:hint="eastAsia" w:ascii="宋体" w:hAnsi="宋体" w:cs="宋体"/>
                <w:color w:val="000000"/>
                <w:sz w:val="24"/>
                <w:lang w:bidi="ar"/>
              </w:rPr>
            </w:pPr>
            <w:r>
              <w:rPr>
                <w:rFonts w:hint="eastAsia" w:ascii="宋体" w:hAnsi="宋体" w:cs="宋体"/>
                <w:color w:val="000000"/>
                <w:sz w:val="24"/>
                <w:lang w:bidi="ar"/>
              </w:rPr>
              <w:t>1.2、超前地质预报</w:t>
            </w:r>
          </w:p>
          <w:p>
            <w:pPr>
              <w:widowControl/>
              <w:jc w:val="left"/>
              <w:textAlignment w:val="center"/>
              <w:rPr>
                <w:rFonts w:hint="eastAsia" w:ascii="宋体" w:hAnsi="宋体" w:cs="宋体"/>
                <w:color w:val="000000"/>
                <w:sz w:val="24"/>
                <w:lang w:bidi="ar"/>
              </w:rPr>
            </w:pPr>
            <w:r>
              <w:rPr>
                <w:rFonts w:hint="eastAsia" w:ascii="宋体" w:hAnsi="宋体" w:cs="宋体"/>
                <w:color w:val="000000"/>
                <w:sz w:val="24"/>
                <w:lang w:bidi="ar"/>
              </w:rPr>
              <w:t>必测项目：TSP地震波探测、GPR地质雷达探测、超前水平钻孔、泄水洞底GPR探测。</w:t>
            </w:r>
          </w:p>
          <w:p>
            <w:pPr>
              <w:widowControl/>
              <w:jc w:val="left"/>
              <w:textAlignment w:val="center"/>
              <w:rPr>
                <w:rFonts w:hint="eastAsia" w:ascii="宋体" w:hAnsi="宋体" w:cs="宋体"/>
                <w:color w:val="000000"/>
                <w:sz w:val="24"/>
                <w:lang w:bidi="ar"/>
              </w:rPr>
            </w:pPr>
            <w:r>
              <w:rPr>
                <w:rFonts w:hint="eastAsia" w:ascii="宋体" w:hAnsi="宋体" w:cs="宋体"/>
                <w:color w:val="000000"/>
                <w:sz w:val="24"/>
                <w:lang w:bidi="ar"/>
              </w:rPr>
              <w:t>1.3、监控量测、超前地质预报项目报价包含所有必测和选测项目的现场探测、内业资料、测点预埋件及所需地质超前预报和检测所需的测量器材、人员工资、技术分析、管理、交通费用，人员保险、增值税费等一切相关费用，不因隧道围岩变更及施工过程中特殊围岩增加监测频率和增加监测项目而增加费用。</w:t>
            </w:r>
          </w:p>
          <w:p>
            <w:pPr>
              <w:widowControl/>
              <w:jc w:val="left"/>
              <w:textAlignment w:val="center"/>
              <w:rPr>
                <w:rFonts w:hint="eastAsia" w:ascii="宋体" w:hAnsi="宋体" w:cs="宋体"/>
                <w:color w:val="000000"/>
                <w:sz w:val="24"/>
                <w:lang w:bidi="ar"/>
              </w:rPr>
            </w:pPr>
            <w:r>
              <w:rPr>
                <w:rFonts w:hint="eastAsia" w:ascii="宋体" w:hAnsi="宋体" w:cs="宋体"/>
                <w:color w:val="000000"/>
                <w:sz w:val="24"/>
                <w:lang w:bidi="ar"/>
              </w:rPr>
              <w:t>2.技术服务要求：</w:t>
            </w:r>
          </w:p>
          <w:p>
            <w:pPr>
              <w:widowControl/>
              <w:jc w:val="left"/>
              <w:textAlignment w:val="center"/>
              <w:rPr>
                <w:rFonts w:hint="eastAsia" w:ascii="宋体" w:hAnsi="宋体" w:cs="宋体"/>
                <w:color w:val="000000"/>
                <w:sz w:val="24"/>
                <w:lang w:bidi="ar"/>
              </w:rPr>
            </w:pPr>
            <w:r>
              <w:rPr>
                <w:rFonts w:hint="eastAsia" w:ascii="宋体" w:hAnsi="宋体" w:cs="宋体"/>
                <w:color w:val="000000"/>
                <w:sz w:val="24"/>
                <w:lang w:bidi="ar"/>
              </w:rPr>
              <w:t>2.1、超前地质预报范围及长度，监控量测断面布置、量测频率、数据处理及应用按照设计文件、《湖北省公路隧道监控量测技术规程》（DB42/T900-2013）、《公路隧道施工地质预报技术规程》（DB42/T561-2009）等规范进行。</w:t>
            </w:r>
          </w:p>
          <w:p>
            <w:pPr>
              <w:widowControl/>
              <w:jc w:val="left"/>
              <w:textAlignment w:val="center"/>
              <w:rPr>
                <w:rFonts w:ascii="宋体" w:hAnsi="宋体" w:cs="宋体"/>
                <w:color w:val="000000"/>
                <w:sz w:val="24"/>
                <w:lang w:bidi="ar"/>
              </w:rPr>
            </w:pPr>
            <w:r>
              <w:rPr>
                <w:rFonts w:hint="eastAsia" w:ascii="宋体" w:hAnsi="宋体" w:cs="宋体"/>
                <w:color w:val="000000"/>
                <w:sz w:val="24"/>
                <w:lang w:bidi="ar"/>
              </w:rPr>
              <w:t>2.2、编制《峡口隧道泄水洞工程超前地质预报及监控量测实施方案》并通过专家评审。</w:t>
            </w:r>
          </w:p>
        </w:tc>
        <w:tc>
          <w:tcPr>
            <w:tcW w:w="872" w:type="dxa"/>
            <w:noWrap w:val="0"/>
            <w:vAlign w:val="top"/>
          </w:tcPr>
          <w:p>
            <w:pPr>
              <w:widowControl/>
              <w:jc w:val="center"/>
              <w:textAlignment w:val="center"/>
              <w:rPr>
                <w:rFonts w:ascii="宋体" w:hAnsi="宋体" w:cs="宋体"/>
                <w:color w:val="00000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817" w:type="dxa"/>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2</w:t>
            </w:r>
          </w:p>
        </w:tc>
        <w:tc>
          <w:tcPr>
            <w:tcW w:w="1276" w:type="dxa"/>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其他内容</w:t>
            </w:r>
          </w:p>
        </w:tc>
        <w:tc>
          <w:tcPr>
            <w:tcW w:w="6379" w:type="dxa"/>
            <w:noWrap w:val="0"/>
            <w:vAlign w:val="top"/>
          </w:tcPr>
          <w:p>
            <w:pPr>
              <w:widowControl/>
              <w:jc w:val="left"/>
              <w:textAlignment w:val="center"/>
              <w:rPr>
                <w:rFonts w:ascii="宋体" w:hAnsi="宋体" w:cs="宋体"/>
                <w:color w:val="000000"/>
                <w:sz w:val="24"/>
                <w:lang w:bidi="ar"/>
              </w:rPr>
            </w:pPr>
            <w:r>
              <w:rPr>
                <w:rFonts w:hint="eastAsia" w:ascii="宋体" w:hAnsi="宋体" w:cs="宋体"/>
                <w:color w:val="000000"/>
                <w:sz w:val="24"/>
                <w:lang w:bidi="ar"/>
              </w:rPr>
              <w:t>清单中有标价的单价和总额价均已包括了为实施和完成合同工程所需的劳务、材料、机械、质检(自检)、安装、缺陷修复、管理、保险（含所雇用人员的意外伤害保险）、税金、利润等费用，以及合同明示或暗示的所有责任、义务和一般风险。</w:t>
            </w:r>
          </w:p>
        </w:tc>
        <w:tc>
          <w:tcPr>
            <w:tcW w:w="872" w:type="dxa"/>
            <w:noWrap w:val="0"/>
            <w:vAlign w:val="top"/>
          </w:tcPr>
          <w:p>
            <w:pPr>
              <w:widowControl/>
              <w:jc w:val="center"/>
              <w:textAlignment w:val="center"/>
              <w:rPr>
                <w:rFonts w:ascii="宋体" w:hAnsi="宋体" w:cs="宋体"/>
                <w:color w:val="000000"/>
                <w:sz w:val="24"/>
                <w:lang w:bidi="ar"/>
              </w:rPr>
            </w:pPr>
          </w:p>
        </w:tc>
      </w:tr>
      <w:bookmarkEnd w:id="0"/>
    </w:tbl>
    <w:p>
      <w:pPr>
        <w:pStyle w:val="7"/>
        <w:ind w:left="0" w:leftChars="0" w:firstLine="0" w:firstLineChars="0"/>
        <w:rPr>
          <w:rFonts w:ascii="宋体" w:hAnsi="宋体" w:cs="黑体"/>
          <w:bCs/>
          <w:sz w:val="24"/>
        </w:rPr>
      </w:pPr>
    </w:p>
    <w:p>
      <w:pPr>
        <w:spacing w:line="360" w:lineRule="auto"/>
        <w:ind w:firstLine="482" w:firstLineChars="200"/>
        <w:rPr>
          <w:rFonts w:hint="eastAsia" w:ascii="宋体" w:hAnsi="宋体" w:cs="宋体"/>
          <w:b/>
          <w:bCs/>
          <w:color w:val="000000"/>
          <w:sz w:val="24"/>
        </w:rPr>
      </w:pP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
    <w:altName w:val="Arial"/>
    <w:panose1 w:val="020B0604020202030204"/>
    <w:charset w:val="00"/>
    <w:family w:val="swiss"/>
    <w:pitch w:val="default"/>
    <w:sig w:usb0="00000000" w:usb1="00000000" w:usb2="00000000" w:usb3="00000000" w:csb0="00000001" w:csb1="00000000"/>
  </w:font>
  <w:font w:name="Arial">
    <w:panose1 w:val="020B0604020202020204"/>
    <w:charset w:val="00"/>
    <w:family w:val="swiss"/>
    <w:pitch w:val="default"/>
    <w:sig w:usb0="E0002EFF" w:usb1="C000785B" w:usb2="00000009" w:usb3="00000000" w:csb0="400001FF" w:csb1="FFFF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