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360" w:lineRule="auto"/>
        <w:outlineLvl w:val="1"/>
        <w:rPr>
          <w:rFonts w:hint="eastAsia" w:eastAsia="黑体"/>
          <w:color w:val="auto"/>
          <w:szCs w:val="16"/>
        </w:rPr>
      </w:pPr>
      <w:r>
        <w:rPr>
          <w:rFonts w:hint="eastAsia" w:ascii="宋体" w:hAnsi="宋体" w:cs="宋体"/>
          <w:color w:val="auto"/>
          <w:sz w:val="32"/>
          <w:szCs w:val="32"/>
        </w:rPr>
        <w:t>附件1</w:t>
      </w:r>
    </w:p>
    <w:p>
      <w:pPr>
        <w:snapToGrid w:val="0"/>
        <w:spacing w:line="400" w:lineRule="atLeast"/>
        <w:jc w:val="center"/>
        <w:rPr>
          <w:rFonts w:hint="eastAsia" w:ascii="宋体" w:hAnsi="宋体" w:cs="宋体"/>
          <w:b/>
          <w:bCs/>
          <w:color w:val="auto"/>
          <w:sz w:val="40"/>
          <w:szCs w:val="40"/>
        </w:rPr>
      </w:pPr>
    </w:p>
    <w:p>
      <w:pPr>
        <w:snapToGrid w:val="0"/>
        <w:spacing w:line="400" w:lineRule="atLeast"/>
        <w:jc w:val="center"/>
        <w:rPr>
          <w:rFonts w:hint="eastAsia" w:ascii="宋体" w:hAnsi="宋体" w:cs="宋体"/>
          <w:b/>
          <w:bCs/>
          <w:color w:val="auto"/>
          <w:sz w:val="40"/>
          <w:szCs w:val="40"/>
        </w:rPr>
      </w:pPr>
      <w:r>
        <w:rPr>
          <w:rFonts w:hint="eastAsia" w:ascii="宋体" w:hAnsi="宋体" w:cs="宋体"/>
          <w:b/>
          <w:bCs/>
          <w:color w:val="auto"/>
          <w:sz w:val="40"/>
          <w:szCs w:val="40"/>
        </w:rPr>
        <w:t>附录1  资格审查条件（资质最低要求）</w:t>
      </w:r>
    </w:p>
    <w:p>
      <w:pPr>
        <w:snapToGrid w:val="0"/>
        <w:spacing w:line="400" w:lineRule="atLeast"/>
        <w:rPr>
          <w:color w:val="auto"/>
        </w:rPr>
      </w:pPr>
    </w:p>
    <w:tbl>
      <w:tblPr>
        <w:tblStyle w:val="4"/>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7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686" w:type="dxa"/>
            <w:noWrap w:val="0"/>
            <w:vAlign w:val="center"/>
          </w:tcPr>
          <w:p>
            <w:pPr>
              <w:snapToGrid w:val="0"/>
              <w:spacing w:line="400" w:lineRule="atLeast"/>
              <w:jc w:val="center"/>
              <w:rPr>
                <w:color w:val="auto"/>
                <w:sz w:val="28"/>
                <w:szCs w:val="36"/>
              </w:rPr>
            </w:pPr>
            <w:r>
              <w:rPr>
                <w:rFonts w:hint="eastAsia"/>
                <w:color w:val="auto"/>
                <w:sz w:val="28"/>
                <w:szCs w:val="36"/>
              </w:rPr>
              <w:t>合同包</w:t>
            </w:r>
          </w:p>
        </w:tc>
        <w:tc>
          <w:tcPr>
            <w:tcW w:w="7488" w:type="dxa"/>
            <w:noWrap w:val="0"/>
            <w:vAlign w:val="center"/>
          </w:tcPr>
          <w:p>
            <w:pPr>
              <w:snapToGrid w:val="0"/>
              <w:spacing w:line="400" w:lineRule="atLeast"/>
              <w:jc w:val="center"/>
              <w:rPr>
                <w:color w:val="auto"/>
                <w:sz w:val="28"/>
                <w:szCs w:val="36"/>
              </w:rPr>
            </w:pPr>
            <w:r>
              <w:rPr>
                <w:color w:val="auto"/>
                <w:sz w:val="28"/>
                <w:szCs w:val="36"/>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6" w:type="dxa"/>
            <w:noWrap w:val="0"/>
            <w:vAlign w:val="center"/>
          </w:tcPr>
          <w:p>
            <w:pPr>
              <w:jc w:val="center"/>
              <w:rPr>
                <w:rFonts w:hint="default" w:eastAsia="宋体"/>
                <w:color w:val="auto"/>
                <w:sz w:val="28"/>
                <w:szCs w:val="28"/>
                <w:lang w:val="en-US" w:eastAsia="zh-CN"/>
              </w:rPr>
            </w:pPr>
            <w:r>
              <w:rPr>
                <w:rFonts w:hint="eastAsia"/>
                <w:color w:val="auto"/>
                <w:sz w:val="28"/>
                <w:szCs w:val="28"/>
                <w:lang w:val="en-US" w:eastAsia="zh-CN"/>
              </w:rPr>
              <w:t>1包和2包</w:t>
            </w:r>
          </w:p>
        </w:tc>
        <w:tc>
          <w:tcPr>
            <w:tcW w:w="748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1、申请人若为生产厂家，须</w:t>
            </w:r>
            <w:r>
              <w:rPr>
                <w:rFonts w:hint="eastAsia" w:ascii="宋体" w:hAnsi="宋体" w:eastAsia="宋体" w:cs="宋体"/>
                <w:color w:val="auto"/>
                <w:sz w:val="28"/>
                <w:szCs w:val="28"/>
              </w:rPr>
              <w:t>同时具备：</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独立的法人资格，具备有效的《营业执照》；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有效的《安全生产许可证》；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（3）有效的《采矿许可证》。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2、申请人若为代理销售类供应商，须同时具备：</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独立的法人资格，具备有效的《营业执照》；</w:t>
            </w:r>
          </w:p>
          <w:p>
            <w:pPr>
              <w:keepNext w:val="0"/>
              <w:keepLines w:val="0"/>
              <w:pageBreakBefore w:val="0"/>
              <w:widowControl w:val="0"/>
              <w:kinsoku/>
              <w:wordWrap/>
              <w:overflowPunct/>
              <w:topLinePunct w:val="0"/>
              <w:autoSpaceDE/>
              <w:autoSpaceDN/>
              <w:bidi w:val="0"/>
              <w:adjustRightInd/>
              <w:snapToGrid/>
              <w:spacing w:line="400" w:lineRule="exact"/>
              <w:textAlignment w:val="auto"/>
              <w:rPr>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按第“1”款要求，提供料源生产厂家的（1）、（2）和（3）项资料。</w:t>
            </w:r>
          </w:p>
        </w:tc>
      </w:tr>
    </w:tbl>
    <w:p>
      <w:pPr>
        <w:spacing w:line="500" w:lineRule="exact"/>
        <w:jc w:val="both"/>
        <w:rPr>
          <w:rFonts w:hint="eastAsia" w:ascii="宋体" w:hAnsi="宋体"/>
          <w:color w:val="auto"/>
          <w:sz w:val="28"/>
          <w:szCs w:val="28"/>
          <w:highlight w:val="none"/>
        </w:rPr>
      </w:pPr>
      <w:r>
        <w:rPr>
          <w:rFonts w:hint="eastAsia" w:ascii="宋体" w:hAnsi="宋体"/>
          <w:color w:val="auto"/>
          <w:sz w:val="28"/>
          <w:szCs w:val="28"/>
          <w:highlight w:val="none"/>
          <w:lang w:val="en-US" w:eastAsia="zh-CN"/>
        </w:rPr>
        <w:t>注：若申请文件未通过本项审查，将按无效处理。</w:t>
      </w: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snapToGrid w:val="0"/>
        <w:spacing w:line="400" w:lineRule="atLeast"/>
        <w:jc w:val="center"/>
        <w:rPr>
          <w:rFonts w:eastAsia="黑体"/>
          <w:color w:val="auto"/>
        </w:rPr>
      </w:pPr>
      <w:r>
        <w:rPr>
          <w:rFonts w:hint="eastAsia" w:ascii="宋体" w:hAnsi="宋体" w:cs="宋体"/>
          <w:b/>
          <w:bCs/>
          <w:color w:val="auto"/>
          <w:sz w:val="40"/>
          <w:szCs w:val="40"/>
        </w:rPr>
        <w:t>附录2  资格审查条件</w:t>
      </w:r>
    </w:p>
    <w:p>
      <w:pPr>
        <w:pStyle w:val="3"/>
        <w:rPr>
          <w:color w:val="auto"/>
        </w:rPr>
      </w:pPr>
    </w:p>
    <w:tbl>
      <w:tblPr>
        <w:tblStyle w:val="4"/>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noWrap w:val="0"/>
            <w:vAlign w:val="center"/>
          </w:tcPr>
          <w:p>
            <w:pPr>
              <w:snapToGrid w:val="0"/>
              <w:spacing w:line="40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合同包</w:t>
            </w:r>
          </w:p>
        </w:tc>
        <w:tc>
          <w:tcPr>
            <w:tcW w:w="7480" w:type="dxa"/>
            <w:noWrap w:val="0"/>
            <w:vAlign w:val="center"/>
          </w:tcPr>
          <w:p>
            <w:pPr>
              <w:snapToGrid w:val="0"/>
              <w:spacing w:line="40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694" w:type="dxa"/>
            <w:noWrap w:val="0"/>
            <w:vAlign w:val="center"/>
          </w:tcPr>
          <w:p>
            <w:pPr>
              <w:jc w:val="center"/>
              <w:rPr>
                <w:rFonts w:hint="eastAsia" w:ascii="宋体" w:hAnsi="宋体" w:eastAsia="宋体" w:cs="宋体"/>
                <w:color w:val="auto"/>
                <w:sz w:val="28"/>
                <w:szCs w:val="28"/>
                <w:lang w:val="en-US" w:eastAsia="zh-CN"/>
              </w:rPr>
            </w:pPr>
            <w:r>
              <w:rPr>
                <w:rFonts w:hint="eastAsia"/>
                <w:color w:val="auto"/>
                <w:sz w:val="28"/>
                <w:szCs w:val="28"/>
                <w:lang w:val="en-US" w:eastAsia="zh-CN"/>
              </w:rPr>
              <w:t>1包和2包</w:t>
            </w:r>
          </w:p>
        </w:tc>
        <w:tc>
          <w:tcPr>
            <w:tcW w:w="7480" w:type="dxa"/>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由银行出具</w:t>
            </w:r>
            <w:r>
              <w:rPr>
                <w:rFonts w:hint="eastAsia" w:ascii="宋体" w:hAnsi="宋体" w:eastAsia="宋体" w:cs="宋体"/>
                <w:color w:val="auto"/>
                <w:sz w:val="28"/>
                <w:szCs w:val="28"/>
                <w:lang w:val="en-US" w:eastAsia="zh-CN"/>
              </w:rPr>
              <w:t>在</w:t>
            </w:r>
            <w:r>
              <w:rPr>
                <w:rFonts w:hint="eastAsia" w:ascii="宋体" w:hAnsi="宋体" w:eastAsia="宋体" w:cs="宋体"/>
                <w:color w:val="auto"/>
                <w:sz w:val="28"/>
                <w:szCs w:val="28"/>
              </w:rPr>
              <w:t>遴选公告发布之日前3</w:t>
            </w:r>
            <w:r>
              <w:rPr>
                <w:rFonts w:hint="eastAsia" w:ascii="宋体" w:hAnsi="宋体" w:eastAsia="宋体" w:cs="宋体"/>
                <w:color w:val="auto"/>
                <w:sz w:val="28"/>
                <w:szCs w:val="28"/>
                <w:highlight w:val="none"/>
              </w:rPr>
              <w:t>个月</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6月、7月、8月</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内的单位账户流水证明，</w:t>
            </w:r>
            <w:r>
              <w:rPr>
                <w:rFonts w:hint="eastAsia" w:ascii="宋体" w:hAnsi="宋体" w:eastAsia="宋体" w:cs="宋体"/>
                <w:color w:val="auto"/>
                <w:sz w:val="28"/>
                <w:szCs w:val="28"/>
                <w:highlight w:val="none"/>
                <w:lang w:val="en-US" w:eastAsia="zh-CN"/>
              </w:rPr>
              <w:t>合同1包</w:t>
            </w:r>
            <w:r>
              <w:rPr>
                <w:rFonts w:hint="eastAsia" w:ascii="宋体" w:hAnsi="宋体" w:eastAsia="宋体" w:cs="宋体"/>
                <w:color w:val="auto"/>
                <w:sz w:val="28"/>
                <w:szCs w:val="28"/>
              </w:rPr>
              <w:t>3</w:t>
            </w:r>
            <w:r>
              <w:rPr>
                <w:rFonts w:hint="eastAsia" w:ascii="宋体" w:hAnsi="宋体" w:eastAsia="宋体" w:cs="宋体"/>
                <w:color w:val="auto"/>
                <w:sz w:val="28"/>
                <w:szCs w:val="28"/>
                <w:highlight w:val="none"/>
              </w:rPr>
              <w:t>个月</w:t>
            </w:r>
            <w:r>
              <w:rPr>
                <w:rFonts w:hint="eastAsia" w:ascii="宋体" w:hAnsi="宋体" w:eastAsia="宋体" w:cs="宋体"/>
                <w:color w:val="auto"/>
                <w:sz w:val="28"/>
                <w:szCs w:val="28"/>
                <w:highlight w:val="none"/>
                <w:lang w:val="en-US" w:eastAsia="zh-CN"/>
              </w:rPr>
              <w:t>出账</w:t>
            </w:r>
            <w:r>
              <w:rPr>
                <w:rFonts w:hint="eastAsia" w:ascii="宋体" w:hAnsi="宋体" w:eastAsia="宋体" w:cs="宋体"/>
                <w:color w:val="auto"/>
                <w:sz w:val="28"/>
                <w:szCs w:val="28"/>
                <w:lang w:val="en-US" w:eastAsia="zh-CN"/>
              </w:rPr>
              <w:t>流水</w:t>
            </w:r>
            <w:r>
              <w:rPr>
                <w:rFonts w:hint="eastAsia" w:ascii="宋体" w:hAnsi="宋体" w:eastAsia="宋体" w:cs="宋体"/>
                <w:color w:val="auto"/>
                <w:sz w:val="28"/>
                <w:szCs w:val="28"/>
              </w:rPr>
              <w:t>平均值不少于</w:t>
            </w:r>
            <w:r>
              <w:rPr>
                <w:rFonts w:hint="eastAsia" w:ascii="宋体" w:hAnsi="宋体" w:eastAsia="宋体" w:cs="宋体"/>
                <w:color w:val="auto"/>
                <w:sz w:val="28"/>
                <w:szCs w:val="28"/>
                <w:lang w:val="en-US" w:eastAsia="zh-CN"/>
              </w:rPr>
              <w:t>150万元，</w:t>
            </w:r>
            <w:r>
              <w:rPr>
                <w:rFonts w:hint="eastAsia" w:ascii="宋体" w:hAnsi="宋体" w:eastAsia="宋体" w:cs="宋体"/>
                <w:color w:val="auto"/>
                <w:sz w:val="28"/>
                <w:szCs w:val="28"/>
                <w:highlight w:val="none"/>
                <w:lang w:val="en-US" w:eastAsia="zh-CN"/>
              </w:rPr>
              <w:t>合同2包</w:t>
            </w:r>
            <w:r>
              <w:rPr>
                <w:rFonts w:hint="eastAsia" w:ascii="宋体" w:hAnsi="宋体" w:eastAsia="宋体" w:cs="宋体"/>
                <w:color w:val="auto"/>
                <w:sz w:val="28"/>
                <w:szCs w:val="28"/>
              </w:rPr>
              <w:t>3</w:t>
            </w:r>
            <w:r>
              <w:rPr>
                <w:rFonts w:hint="eastAsia" w:ascii="宋体" w:hAnsi="宋体" w:eastAsia="宋体" w:cs="宋体"/>
                <w:color w:val="auto"/>
                <w:sz w:val="28"/>
                <w:szCs w:val="28"/>
                <w:highlight w:val="none"/>
              </w:rPr>
              <w:t>个月</w:t>
            </w:r>
            <w:r>
              <w:rPr>
                <w:rFonts w:hint="eastAsia" w:ascii="宋体" w:hAnsi="宋体" w:eastAsia="宋体" w:cs="宋体"/>
                <w:color w:val="auto"/>
                <w:sz w:val="28"/>
                <w:szCs w:val="28"/>
                <w:highlight w:val="none"/>
                <w:lang w:val="en-US" w:eastAsia="zh-CN"/>
              </w:rPr>
              <w:t>出账</w:t>
            </w:r>
            <w:r>
              <w:rPr>
                <w:rFonts w:hint="eastAsia" w:ascii="宋体" w:hAnsi="宋体" w:eastAsia="宋体" w:cs="宋体"/>
                <w:color w:val="auto"/>
                <w:sz w:val="28"/>
                <w:szCs w:val="28"/>
                <w:lang w:val="en-US" w:eastAsia="zh-CN"/>
              </w:rPr>
              <w:t>流水</w:t>
            </w:r>
            <w:r>
              <w:rPr>
                <w:rFonts w:hint="eastAsia" w:ascii="宋体" w:hAnsi="宋体" w:eastAsia="宋体" w:cs="宋体"/>
                <w:color w:val="auto"/>
                <w:sz w:val="28"/>
                <w:szCs w:val="28"/>
              </w:rPr>
              <w:t>平均值不少于</w:t>
            </w:r>
            <w:r>
              <w:rPr>
                <w:rFonts w:hint="eastAsia" w:ascii="宋体" w:hAnsi="宋体" w:eastAsia="宋体" w:cs="宋体"/>
                <w:color w:val="auto"/>
                <w:sz w:val="28"/>
                <w:szCs w:val="28"/>
                <w:lang w:val="en-US" w:eastAsia="zh-CN"/>
              </w:rPr>
              <w:t>60万元</w:t>
            </w:r>
            <w:r>
              <w:rPr>
                <w:rFonts w:hint="eastAsia" w:ascii="宋体" w:hAnsi="宋体" w:eastAsia="宋体" w:cs="宋体"/>
                <w:color w:val="auto"/>
                <w:sz w:val="28"/>
                <w:szCs w:val="28"/>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2、若为代理销售类供应商，须提供2017年、2018年、2019年的财务审计报告（</w:t>
            </w:r>
            <w:r>
              <w:rPr>
                <w:rFonts w:hint="eastAsia" w:ascii="宋体" w:hAnsi="宋体"/>
                <w:color w:val="auto"/>
                <w:sz w:val="28"/>
                <w:szCs w:val="28"/>
              </w:rPr>
              <w:t>包括资产负债表、现金流量表、利润表和财务情况说明书</w:t>
            </w:r>
            <w:r>
              <w:rPr>
                <w:rFonts w:hint="eastAsia" w:ascii="宋体" w:hAnsi="宋体" w:eastAsia="宋体" w:cs="宋体"/>
                <w:color w:val="auto"/>
                <w:sz w:val="28"/>
                <w:szCs w:val="28"/>
                <w:lang w:val="en-US" w:eastAsia="zh-CN"/>
              </w:rPr>
              <w:t>），生产厂家不必提供。</w:t>
            </w:r>
          </w:p>
        </w:tc>
      </w:tr>
    </w:tbl>
    <w:p>
      <w:pPr>
        <w:spacing w:line="500" w:lineRule="exact"/>
        <w:jc w:val="both"/>
        <w:rPr>
          <w:rFonts w:hint="eastAsia" w:ascii="宋体" w:hAnsi="宋体"/>
          <w:color w:val="auto"/>
          <w:sz w:val="28"/>
          <w:szCs w:val="28"/>
          <w:highlight w:val="none"/>
        </w:rPr>
      </w:pPr>
      <w:r>
        <w:rPr>
          <w:rFonts w:hint="eastAsia" w:ascii="宋体" w:hAnsi="宋体"/>
          <w:color w:val="auto"/>
          <w:sz w:val="28"/>
          <w:szCs w:val="28"/>
          <w:highlight w:val="none"/>
          <w:lang w:val="en-US" w:eastAsia="zh-CN"/>
        </w:rPr>
        <w:t>注：若申请文件未通过本项审查，将按无效处理。</w:t>
      </w:r>
    </w:p>
    <w:p>
      <w:pPr>
        <w:pStyle w:val="3"/>
        <w:ind w:left="0" w:leftChars="0" w:firstLine="0" w:firstLineChars="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snapToGrid w:val="0"/>
        <w:spacing w:line="400" w:lineRule="atLeast"/>
        <w:jc w:val="center"/>
        <w:rPr>
          <w:rFonts w:hint="eastAsia" w:ascii="宋体" w:hAnsi="宋体" w:cs="宋体"/>
          <w:color w:val="auto"/>
          <w:sz w:val="40"/>
          <w:szCs w:val="40"/>
        </w:rPr>
      </w:pPr>
      <w:r>
        <w:rPr>
          <w:rFonts w:hint="eastAsia" w:ascii="宋体" w:hAnsi="宋体" w:cs="宋体"/>
          <w:b/>
          <w:bCs/>
          <w:color w:val="auto"/>
          <w:sz w:val="40"/>
          <w:szCs w:val="40"/>
        </w:rPr>
        <w:t>附录3  资格审查条件(业绩最低要求)</w:t>
      </w:r>
    </w:p>
    <w:p>
      <w:pPr>
        <w:snapToGrid w:val="0"/>
        <w:spacing w:line="400" w:lineRule="atLeast"/>
        <w:jc w:val="center"/>
        <w:rPr>
          <w:rFonts w:eastAsia="黑体"/>
          <w:color w:val="auto"/>
        </w:rPr>
      </w:pPr>
    </w:p>
    <w:tbl>
      <w:tblPr>
        <w:tblStyle w:val="4"/>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05" w:type="dxa"/>
            <w:noWrap w:val="0"/>
            <w:vAlign w:val="center"/>
          </w:tcPr>
          <w:p>
            <w:pPr>
              <w:snapToGrid w:val="0"/>
              <w:spacing w:line="40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合同包</w:t>
            </w:r>
          </w:p>
        </w:tc>
        <w:tc>
          <w:tcPr>
            <w:tcW w:w="7369" w:type="dxa"/>
            <w:noWrap w:val="0"/>
            <w:vAlign w:val="center"/>
          </w:tcPr>
          <w:p>
            <w:pPr>
              <w:snapToGrid w:val="0"/>
              <w:spacing w:line="40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5" w:hRule="atLeast"/>
          <w:jc w:val="center"/>
        </w:trPr>
        <w:tc>
          <w:tcPr>
            <w:tcW w:w="1805" w:type="dxa"/>
            <w:noWrap w:val="0"/>
            <w:vAlign w:val="center"/>
          </w:tcPr>
          <w:p>
            <w:pPr>
              <w:jc w:val="center"/>
              <w:rPr>
                <w:rFonts w:hint="default" w:ascii="宋体" w:hAnsi="宋体" w:eastAsia="宋体" w:cs="宋体"/>
                <w:color w:val="auto"/>
                <w:sz w:val="28"/>
                <w:szCs w:val="28"/>
                <w:lang w:val="en-US" w:eastAsia="zh-CN"/>
              </w:rPr>
            </w:pPr>
            <w:r>
              <w:rPr>
                <w:rFonts w:hint="eastAsia"/>
                <w:color w:val="auto"/>
                <w:sz w:val="28"/>
                <w:szCs w:val="28"/>
                <w:lang w:val="en-US" w:eastAsia="zh-CN"/>
              </w:rPr>
              <w:t>1包和2包</w:t>
            </w:r>
          </w:p>
        </w:tc>
        <w:tc>
          <w:tcPr>
            <w:tcW w:w="7369" w:type="dxa"/>
            <w:noWrap w:val="0"/>
            <w:vAlign w:val="center"/>
          </w:tcPr>
          <w:p>
            <w:pPr>
              <w:rPr>
                <w:rFonts w:hint="eastAsia" w:ascii="宋体" w:hAnsi="宋体" w:eastAsia="宋体" w:cs="宋体"/>
                <w:color w:val="auto"/>
                <w:sz w:val="28"/>
                <w:szCs w:val="28"/>
              </w:rPr>
            </w:pPr>
            <w:r>
              <w:rPr>
                <w:rFonts w:hint="eastAsia" w:ascii="宋体" w:hAnsi="宋体" w:cs="宋体"/>
                <w:color w:val="auto"/>
                <w:sz w:val="28"/>
                <w:szCs w:val="28"/>
                <w:lang w:val="en-US" w:eastAsia="zh-CN"/>
              </w:rPr>
              <w:t>提供</w:t>
            </w:r>
            <w:r>
              <w:rPr>
                <w:rFonts w:hint="eastAsia" w:ascii="宋体" w:hAnsi="宋体" w:eastAsia="宋体" w:cs="宋体"/>
                <w:color w:val="auto"/>
                <w:sz w:val="28"/>
                <w:szCs w:val="28"/>
                <w:lang w:val="en-US" w:eastAsia="zh-CN"/>
              </w:rPr>
              <w:t>近3年（2017年1月1日至申请截止日）地材（碎石、砂）供应业绩</w:t>
            </w:r>
            <w:r>
              <w:rPr>
                <w:rFonts w:hint="eastAsia" w:ascii="宋体" w:hAnsi="宋体" w:cs="宋体"/>
                <w:color w:val="auto"/>
                <w:sz w:val="28"/>
                <w:szCs w:val="28"/>
                <w:lang w:val="en-US" w:eastAsia="zh-CN"/>
              </w:rPr>
              <w:t>证明</w:t>
            </w:r>
            <w:r>
              <w:rPr>
                <w:rFonts w:hint="eastAsia" w:ascii="宋体" w:hAnsi="宋体" w:eastAsia="宋体" w:cs="宋体"/>
                <w:color w:val="auto"/>
                <w:sz w:val="28"/>
                <w:szCs w:val="28"/>
              </w:rPr>
              <w:t>。</w:t>
            </w:r>
          </w:p>
        </w:tc>
      </w:tr>
    </w:tbl>
    <w:p>
      <w:pPr>
        <w:spacing w:line="500" w:lineRule="exact"/>
        <w:rPr>
          <w:rFonts w:hint="eastAsia" w:ascii="宋体" w:hAnsi="宋体" w:eastAsia="宋体" w:cs="宋体"/>
          <w:color w:val="auto"/>
          <w:kern w:val="0"/>
          <w:sz w:val="28"/>
          <w:szCs w:val="36"/>
          <w:lang w:eastAsia="zh-CN"/>
        </w:rPr>
      </w:pPr>
      <w:r>
        <w:rPr>
          <w:rFonts w:hint="eastAsia" w:ascii="宋体" w:hAnsi="宋体" w:cs="宋体"/>
          <w:color w:val="auto"/>
          <w:kern w:val="0"/>
          <w:sz w:val="28"/>
          <w:szCs w:val="36"/>
        </w:rPr>
        <w:t>注：1</w:t>
      </w:r>
      <w:r>
        <w:rPr>
          <w:rFonts w:hint="eastAsia" w:ascii="宋体" w:hAnsi="宋体" w:cs="宋体"/>
          <w:color w:val="auto"/>
          <w:kern w:val="0"/>
          <w:sz w:val="28"/>
          <w:szCs w:val="36"/>
          <w:lang w:val="en-US" w:eastAsia="zh-CN"/>
        </w:rPr>
        <w:t>.</w:t>
      </w:r>
      <w:r>
        <w:rPr>
          <w:rFonts w:hint="eastAsia" w:ascii="宋体" w:hAnsi="宋体" w:cs="宋体"/>
          <w:color w:val="auto"/>
          <w:kern w:val="0"/>
          <w:sz w:val="28"/>
          <w:szCs w:val="36"/>
        </w:rPr>
        <w:t>申请人应填写近3年(以签订合同时间为准)承担的类似项目业绩，并提</w:t>
      </w:r>
      <w:r>
        <w:rPr>
          <w:rFonts w:hint="eastAsia" w:ascii="宋体" w:hAnsi="宋体" w:cs="宋体"/>
          <w:color w:val="auto"/>
          <w:kern w:val="0"/>
          <w:sz w:val="28"/>
          <w:szCs w:val="36"/>
          <w:highlight w:val="none"/>
        </w:rPr>
        <w:t>供彩色打印的合同</w:t>
      </w:r>
      <w:r>
        <w:rPr>
          <w:rFonts w:hint="eastAsia" w:ascii="宋体" w:hAnsi="宋体" w:cs="宋体"/>
          <w:color w:val="auto"/>
          <w:kern w:val="0"/>
          <w:sz w:val="28"/>
          <w:szCs w:val="36"/>
        </w:rPr>
        <w:t>协议书</w:t>
      </w:r>
      <w:r>
        <w:rPr>
          <w:rFonts w:hint="eastAsia" w:ascii="宋体" w:hAnsi="宋体" w:cs="宋体"/>
          <w:color w:val="auto"/>
          <w:kern w:val="0"/>
          <w:sz w:val="28"/>
          <w:szCs w:val="36"/>
          <w:lang w:eastAsia="zh-CN"/>
        </w:rPr>
        <w:t>；</w:t>
      </w:r>
    </w:p>
    <w:p>
      <w:pPr>
        <w:spacing w:line="500" w:lineRule="exact"/>
        <w:ind w:firstLine="560" w:firstLineChars="200"/>
        <w:jc w:val="both"/>
        <w:rPr>
          <w:rFonts w:hint="eastAsia" w:ascii="宋体" w:hAnsi="宋体"/>
          <w:color w:val="auto"/>
          <w:sz w:val="28"/>
          <w:szCs w:val="28"/>
          <w:highlight w:val="none"/>
        </w:rPr>
      </w:pPr>
      <w:r>
        <w:rPr>
          <w:rFonts w:hint="eastAsia" w:ascii="宋体" w:hAnsi="宋体"/>
          <w:color w:val="auto"/>
          <w:sz w:val="28"/>
          <w:szCs w:val="28"/>
          <w:highlight w:val="none"/>
          <w:lang w:val="en-US" w:eastAsia="zh-CN"/>
        </w:rPr>
        <w:t>2.若申请文件未通过本项审查，将按无效处理。</w:t>
      </w:r>
    </w:p>
    <w:p>
      <w:pPr>
        <w:spacing w:line="500" w:lineRule="exact"/>
        <w:rPr>
          <w:rFonts w:hint="eastAsia" w:ascii="宋体" w:hAnsi="宋体" w:cs="宋体"/>
          <w:color w:val="auto"/>
          <w:kern w:val="0"/>
          <w:sz w:val="28"/>
          <w:szCs w:val="36"/>
        </w:rPr>
      </w:pPr>
    </w:p>
    <w:p>
      <w:pPr>
        <w:spacing w:line="500" w:lineRule="exact"/>
        <w:jc w:val="center"/>
        <w:rPr>
          <w:rFonts w:hint="eastAsia" w:ascii="宋体" w:hAnsi="宋体"/>
          <w:color w:val="auto"/>
          <w:sz w:val="28"/>
          <w:szCs w:val="28"/>
        </w:rPr>
      </w:pPr>
    </w:p>
    <w:p>
      <w:pPr>
        <w:spacing w:line="500" w:lineRule="exact"/>
        <w:jc w:val="center"/>
        <w:rPr>
          <w:rFonts w:hint="eastAsia" w:ascii="宋体" w:hAnsi="宋体"/>
          <w:color w:val="auto"/>
          <w:sz w:val="28"/>
          <w:szCs w:val="28"/>
        </w:rPr>
      </w:pPr>
    </w:p>
    <w:p>
      <w:pPr>
        <w:spacing w:line="500" w:lineRule="exact"/>
        <w:jc w:val="center"/>
        <w:rPr>
          <w:rFonts w:hint="eastAsia" w:ascii="宋体" w:hAnsi="宋体"/>
          <w:color w:val="auto"/>
          <w:sz w:val="28"/>
          <w:szCs w:val="28"/>
        </w:rPr>
      </w:pPr>
      <w:bookmarkStart w:id="0" w:name="_GoBack"/>
      <w:bookmarkEnd w:id="0"/>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snapToGrid w:val="0"/>
        <w:spacing w:line="400" w:lineRule="atLeast"/>
        <w:jc w:val="center"/>
        <w:rPr>
          <w:rFonts w:hint="eastAsia" w:ascii="宋体" w:hAnsi="宋体" w:cs="宋体"/>
          <w:b/>
          <w:bCs/>
          <w:color w:val="auto"/>
          <w:sz w:val="40"/>
          <w:szCs w:val="40"/>
        </w:rPr>
      </w:pPr>
      <w:r>
        <w:rPr>
          <w:rFonts w:hint="eastAsia" w:ascii="宋体" w:hAnsi="宋体" w:cs="宋体"/>
          <w:b/>
          <w:bCs/>
          <w:color w:val="auto"/>
          <w:sz w:val="40"/>
          <w:szCs w:val="40"/>
        </w:rPr>
        <w:t>附录4  资格审查条件(信誉最低要求)</w:t>
      </w:r>
    </w:p>
    <w:p>
      <w:pPr>
        <w:snapToGrid w:val="0"/>
        <w:spacing w:line="400" w:lineRule="atLeast"/>
        <w:rPr>
          <w:bCs/>
          <w:color w:val="auto"/>
        </w:rPr>
      </w:pPr>
    </w:p>
    <w:tbl>
      <w:tblPr>
        <w:tblStyle w:val="4"/>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noWrap w:val="0"/>
            <w:vAlign w:val="center"/>
          </w:tcPr>
          <w:p>
            <w:pPr>
              <w:snapToGrid w:val="0"/>
              <w:spacing w:line="400" w:lineRule="atLeast"/>
              <w:jc w:val="center"/>
              <w:rPr>
                <w:rFonts w:hint="eastAsia" w:ascii="宋体" w:hAnsi="宋体" w:cs="宋体"/>
                <w:color w:val="auto"/>
                <w:sz w:val="28"/>
                <w:szCs w:val="28"/>
              </w:rPr>
            </w:pPr>
            <w:r>
              <w:rPr>
                <w:rFonts w:hint="eastAsia" w:ascii="宋体" w:hAnsi="宋体" w:cs="宋体"/>
                <w:color w:val="auto"/>
                <w:sz w:val="28"/>
                <w:szCs w:val="28"/>
              </w:rPr>
              <w:t>合同包</w:t>
            </w:r>
          </w:p>
        </w:tc>
        <w:tc>
          <w:tcPr>
            <w:tcW w:w="7480" w:type="dxa"/>
            <w:noWrap w:val="0"/>
            <w:vAlign w:val="center"/>
          </w:tcPr>
          <w:p>
            <w:pPr>
              <w:snapToGrid w:val="0"/>
              <w:spacing w:line="400" w:lineRule="atLeast"/>
              <w:jc w:val="center"/>
              <w:rPr>
                <w:rFonts w:hint="eastAsia" w:ascii="宋体" w:hAnsi="宋体" w:cs="宋体"/>
                <w:color w:val="auto"/>
                <w:sz w:val="28"/>
                <w:szCs w:val="28"/>
              </w:rPr>
            </w:pPr>
            <w:r>
              <w:rPr>
                <w:rFonts w:hint="eastAsia" w:ascii="宋体" w:hAnsi="宋体" w:cs="宋体"/>
                <w:color w:val="auto"/>
                <w:sz w:val="28"/>
                <w:szCs w:val="28"/>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694" w:type="dxa"/>
            <w:noWrap w:val="0"/>
            <w:vAlign w:val="center"/>
          </w:tcPr>
          <w:p>
            <w:pPr>
              <w:jc w:val="center"/>
              <w:rPr>
                <w:rFonts w:hint="eastAsia" w:ascii="宋体" w:hAnsi="宋体" w:eastAsia="宋体" w:cs="宋体"/>
                <w:color w:val="auto"/>
                <w:sz w:val="28"/>
                <w:szCs w:val="28"/>
                <w:lang w:val="en-US" w:eastAsia="zh-CN"/>
              </w:rPr>
            </w:pPr>
            <w:r>
              <w:rPr>
                <w:rFonts w:hint="eastAsia"/>
                <w:color w:val="auto"/>
                <w:sz w:val="28"/>
                <w:szCs w:val="28"/>
                <w:lang w:val="en-US" w:eastAsia="zh-CN"/>
              </w:rPr>
              <w:t>1包和2包</w:t>
            </w:r>
          </w:p>
        </w:tc>
        <w:tc>
          <w:tcPr>
            <w:tcW w:w="7480" w:type="dxa"/>
            <w:noWrap w:val="0"/>
            <w:vAlign w:val="center"/>
          </w:tcPr>
          <w:p>
            <w:pPr>
              <w:wordWrap w:val="0"/>
              <w:adjustRightInd w:val="0"/>
              <w:spacing w:line="400" w:lineRule="exact"/>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不得存在下列情况（信誉最低要求）：</w:t>
            </w:r>
          </w:p>
          <w:p>
            <w:pPr>
              <w:wordWrap w:val="0"/>
              <w:adjustRightInd w:val="0"/>
              <w:spacing w:line="400" w:lineRule="exact"/>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1、处于被责令停业、接管或清算、破产状态；</w:t>
            </w:r>
          </w:p>
          <w:p>
            <w:pPr>
              <w:wordWrap w:val="0"/>
              <w:adjustRightInd w:val="0"/>
              <w:spacing w:line="400" w:lineRule="exact"/>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2、处于被交通运输部或湖北省交通运输主管部门作出禁止进入公路建设市场的处罚且处于有效期内；</w:t>
            </w:r>
          </w:p>
          <w:p>
            <w:pPr>
              <w:wordWrap w:val="0"/>
              <w:adjustRightInd w:val="0"/>
              <w:spacing w:line="400" w:lineRule="exact"/>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3、存在下列不良状况或不良信用记录：</w:t>
            </w:r>
          </w:p>
          <w:p>
            <w:pPr>
              <w:wordWrap w:val="0"/>
              <w:adjustRightInd w:val="0"/>
              <w:spacing w:line="400" w:lineRule="exact"/>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（1）在国家企业信用信息公示系统（http://www.gsxt.gov.cn/）中被列入严重违法失信企业名单的；</w:t>
            </w:r>
          </w:p>
          <w:p>
            <w:pPr>
              <w:wordWrap w:val="0"/>
              <w:adjustRightInd w:val="0"/>
              <w:spacing w:line="400" w:lineRule="exact"/>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（2）在“信用中国”网站（http://www.creditchina.gov.cn/）中被列入失信被执行人名单或重大税收违法案件当事人；</w:t>
            </w:r>
          </w:p>
          <w:p>
            <w:pPr>
              <w:wordWrap w:val="0"/>
              <w:adjustRightInd w:val="0"/>
              <w:spacing w:line="400" w:lineRule="exact"/>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（3）申请人或其法定代表人在近三年内有行贿犯罪行为的；</w:t>
            </w:r>
          </w:p>
          <w:p>
            <w:pPr>
              <w:wordWrap w:val="0"/>
              <w:adjustRightInd w:val="0"/>
              <w:spacing w:line="400" w:lineRule="exact"/>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（4）其他在“信用中国”网站（http://www.creditchina.gov.cn/）中被列为失信惩戒对象，且按联合惩戒要求禁止参与招投标的；</w:t>
            </w:r>
          </w:p>
          <w:p>
            <w:pPr>
              <w:wordWrap w:val="0"/>
              <w:adjustRightInd w:val="0"/>
              <w:spacing w:line="400" w:lineRule="exact"/>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（5）上一年度被遴选人列入D级资源库的</w:t>
            </w:r>
            <w:r>
              <w:rPr>
                <w:rFonts w:hint="eastAsia" w:ascii="宋体" w:hAnsi="宋体" w:eastAsia="宋体" w:cs="宋体"/>
                <w:color w:val="auto"/>
                <w:kern w:val="0"/>
                <w:sz w:val="28"/>
                <w:szCs w:val="28"/>
                <w:lang w:eastAsia="zh-CN"/>
              </w:rPr>
              <w:t>协作单位（物资设备类）</w:t>
            </w:r>
            <w:r>
              <w:rPr>
                <w:rFonts w:hint="eastAsia" w:ascii="宋体" w:hAnsi="宋体" w:eastAsia="宋体" w:cs="宋体"/>
                <w:color w:val="auto"/>
                <w:kern w:val="0"/>
                <w:sz w:val="28"/>
                <w:szCs w:val="28"/>
              </w:rPr>
              <w:t>；</w:t>
            </w:r>
          </w:p>
          <w:p>
            <w:pPr>
              <w:wordWrap w:val="0"/>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kern w:val="0"/>
                <w:sz w:val="28"/>
                <w:szCs w:val="28"/>
              </w:rPr>
              <w:t>（6）近三年度被遴选人列入Z级资源库的</w:t>
            </w:r>
            <w:r>
              <w:rPr>
                <w:rFonts w:hint="eastAsia" w:ascii="宋体" w:hAnsi="宋体" w:eastAsia="宋体" w:cs="宋体"/>
                <w:color w:val="auto"/>
                <w:kern w:val="0"/>
                <w:sz w:val="28"/>
                <w:szCs w:val="28"/>
                <w:lang w:eastAsia="zh-CN"/>
              </w:rPr>
              <w:t>协作单位（物资设备类）</w:t>
            </w:r>
            <w:r>
              <w:rPr>
                <w:rFonts w:hint="eastAsia" w:ascii="宋体" w:hAnsi="宋体" w:eastAsia="宋体" w:cs="宋体"/>
                <w:color w:val="auto"/>
                <w:kern w:val="0"/>
                <w:sz w:val="28"/>
                <w:szCs w:val="28"/>
              </w:rPr>
              <w:t>。</w:t>
            </w:r>
          </w:p>
        </w:tc>
      </w:tr>
    </w:tbl>
    <w:p>
      <w:pPr>
        <w:pStyle w:val="3"/>
        <w:ind w:left="0" w:leftChars="0" w:firstLine="0" w:firstLineChars="0"/>
        <w:rPr>
          <w:rFonts w:hint="eastAsia" w:ascii="宋体" w:hAnsi="宋体" w:eastAsia="宋体" w:cs="宋体"/>
          <w:color w:val="auto"/>
          <w:sz w:val="28"/>
          <w:szCs w:val="28"/>
          <w:lang w:eastAsia="zh-CN"/>
        </w:rPr>
      </w:pPr>
      <w:r>
        <w:rPr>
          <w:rFonts w:hint="eastAsia" w:ascii="宋体" w:hAnsi="宋体" w:cs="宋体"/>
          <w:color w:val="auto"/>
          <w:sz w:val="28"/>
          <w:szCs w:val="28"/>
        </w:rPr>
        <w:t>注：</w:t>
      </w:r>
      <w:r>
        <w:rPr>
          <w:rFonts w:hint="eastAsia" w:ascii="宋体" w:hAnsi="宋体" w:cs="宋体"/>
          <w:color w:val="auto"/>
          <w:sz w:val="28"/>
          <w:szCs w:val="28"/>
          <w:lang w:val="en-US" w:eastAsia="zh-CN"/>
        </w:rPr>
        <w:t>1.</w:t>
      </w:r>
      <w:r>
        <w:rPr>
          <w:rFonts w:hint="eastAsia" w:ascii="宋体" w:hAnsi="宋体" w:cs="宋体"/>
          <w:color w:val="auto"/>
          <w:sz w:val="28"/>
          <w:szCs w:val="28"/>
        </w:rPr>
        <w:t>对以上（1）、（2）、（4）信用状况应附指定网站截图，截图时间为遴选公告发布之日至申请截止日之间</w:t>
      </w:r>
      <w:r>
        <w:rPr>
          <w:rFonts w:hint="eastAsia" w:ascii="宋体" w:hAnsi="宋体" w:cs="宋体"/>
          <w:color w:val="auto"/>
          <w:sz w:val="28"/>
          <w:szCs w:val="28"/>
          <w:lang w:eastAsia="zh-CN"/>
        </w:rPr>
        <w:t>；</w:t>
      </w:r>
    </w:p>
    <w:p>
      <w:pPr>
        <w:spacing w:line="500" w:lineRule="exact"/>
        <w:ind w:firstLine="560" w:firstLineChars="200"/>
        <w:jc w:val="both"/>
        <w:rPr>
          <w:rFonts w:hint="eastAsia" w:ascii="宋体" w:hAnsi="宋体"/>
          <w:color w:val="auto"/>
          <w:sz w:val="28"/>
          <w:szCs w:val="28"/>
          <w:highlight w:val="none"/>
        </w:rPr>
      </w:pPr>
      <w:r>
        <w:rPr>
          <w:rFonts w:hint="eastAsia" w:ascii="宋体" w:hAnsi="宋体"/>
          <w:color w:val="auto"/>
          <w:sz w:val="28"/>
          <w:szCs w:val="28"/>
          <w:highlight w:val="none"/>
          <w:lang w:val="en-US" w:eastAsia="zh-CN"/>
        </w:rPr>
        <w:t>2.若申请文件未通过本项审查，将按无效处理。</w:t>
      </w:r>
    </w:p>
    <w:p>
      <w:pPr>
        <w:pStyle w:val="3"/>
        <w:ind w:firstLine="560"/>
        <w:rPr>
          <w:rFonts w:hint="eastAsia" w:ascii="宋体" w:hAnsi="宋体"/>
          <w:color w:val="auto"/>
          <w:sz w:val="28"/>
          <w:szCs w:val="28"/>
        </w:rPr>
      </w:pPr>
    </w:p>
    <w:p>
      <w:pPr>
        <w:pStyle w:val="3"/>
        <w:ind w:firstLine="560"/>
        <w:rPr>
          <w:rFonts w:hint="eastAsia" w:ascii="宋体" w:hAnsi="宋体"/>
          <w:color w:val="auto"/>
          <w:sz w:val="28"/>
          <w:szCs w:val="28"/>
        </w:rPr>
      </w:pPr>
    </w:p>
    <w:p>
      <w:pPr>
        <w:spacing w:line="500" w:lineRule="exact"/>
        <w:jc w:val="center"/>
        <w:rPr>
          <w:rFonts w:hint="eastAsia" w:ascii="宋体" w:hAnsi="宋体"/>
          <w:color w:val="auto"/>
          <w:sz w:val="28"/>
          <w:szCs w:val="28"/>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BE2EF9"/>
    <w:rsid w:val="7CC356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