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60" w:lineRule="auto"/>
        <w:jc w:val="both"/>
        <w:outlineLvl w:val="0"/>
        <w:rPr>
          <w:rFonts w:hint="eastAsia" w:eastAsia="黑体"/>
          <w:sz w:val="24"/>
          <w:szCs w:val="16"/>
          <w:lang w:val="en-US" w:eastAsia="zh-CN"/>
        </w:rPr>
      </w:pPr>
      <w:r>
        <w:rPr>
          <w:rFonts w:hint="eastAsia" w:eastAsia="黑体"/>
          <w:sz w:val="24"/>
          <w:szCs w:val="16"/>
          <w:lang w:val="en-US" w:eastAsia="zh-CN"/>
        </w:rPr>
        <w:t>附件1</w:t>
      </w:r>
    </w:p>
    <w:tbl>
      <w:tblPr>
        <w:tblStyle w:val="4"/>
        <w:tblpPr w:leftFromText="180" w:rightFromText="180" w:vertAnchor="page" w:horzAnchor="page" w:tblpX="982" w:tblpY="2721"/>
        <w:tblOverlap w:val="never"/>
        <w:tblW w:w="102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2"/>
        <w:gridCol w:w="1462"/>
        <w:gridCol w:w="1988"/>
        <w:gridCol w:w="3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253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江北东二期机械化施工项目设备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租赁供应商询价公告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注：1、报名联系人须与申请文件递交人为同一人；</w:t>
      </w:r>
    </w:p>
    <w:p>
      <w:pPr>
        <w:keepNext w:val="0"/>
        <w:keepLines w:val="0"/>
        <w:widowControl/>
        <w:suppressLineNumbers w:val="0"/>
        <w:ind w:firstLine="361" w:firstLineChars="200"/>
        <w:jc w:val="left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2、如申请单位中选，遴选文件接收邮箱默认为中选通知书接收邮箱，切勿随意更换。如因邮箱更换导致中选通知书接受不及时，申请单位自行承担后果。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5880" w:firstLineChars="2100"/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sz w:val="28"/>
          <w:szCs w:val="28"/>
          <w:lang w:val="en-US" w:eastAsia="zh-CN"/>
        </w:rPr>
        <w:t>申请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申请日期：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35EA3"/>
    <w:rsid w:val="0AA35EA3"/>
    <w:rsid w:val="445A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2020-09-07T01:50:00Z</dcterms:created>
  <dc:creator>朱运平</dc:creator>
  <cp:lastModifiedBy>朱运平</cp:lastModifiedBy>
  <dcterms:modified xsi:type="dcterms:W3CDTF">2020-09-09T02:46:25Z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