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rPr>
          <w:rFonts w:hint="eastAsia"/>
        </w:rPr>
      </w:pPr>
      <w:bookmarkStart w:id="0" w:name="_Toc30939"/>
      <w:bookmarkStart w:id="1" w:name="_Toc23563"/>
      <w:bookmarkStart w:id="2" w:name="_Toc851"/>
      <w:bookmarkStart w:id="3" w:name="_Toc16669"/>
      <w:bookmarkStart w:id="4" w:name="_Toc12423"/>
      <w:bookmarkStart w:id="5" w:name="_Toc29024"/>
      <w:bookmarkStart w:id="6" w:name="_Toc11979"/>
      <w:bookmarkStart w:id="7" w:name="_Toc2816"/>
      <w:bookmarkStart w:id="8" w:name="_Toc4616"/>
      <w:bookmarkStart w:id="9" w:name="_Toc32408"/>
      <w:bookmarkStart w:id="10" w:name="_Toc9222"/>
      <w:r>
        <w:rPr>
          <w:rFonts w:hint="eastAsia"/>
        </w:rPr>
        <w:t>附</w:t>
      </w:r>
      <w:bookmarkEnd w:id="0"/>
      <w:r>
        <w:rPr>
          <w:rFonts w:hint="eastAsia"/>
        </w:rPr>
        <w:t>件1：</w:t>
      </w:r>
      <w:bookmarkEnd w:id="1"/>
      <w:bookmarkEnd w:id="2"/>
      <w:bookmarkEnd w:id="3"/>
      <w:bookmarkEnd w:id="4"/>
      <w:bookmarkEnd w:id="5"/>
      <w:r>
        <w:rPr>
          <w:rFonts w:hint="eastAsia"/>
        </w:rPr>
        <w:t>申请人条件</w:t>
      </w:r>
      <w:bookmarkEnd w:id="6"/>
      <w:bookmarkEnd w:id="7"/>
      <w:bookmarkEnd w:id="8"/>
      <w:bookmarkEnd w:id="9"/>
      <w:bookmarkEnd w:id="10"/>
    </w:p>
    <w:p>
      <w:pPr>
        <w:pStyle w:val="4"/>
        <w:spacing w:before="0" w:after="0"/>
        <w:ind w:firstLine="803" w:firstLineChars="200"/>
        <w:outlineLvl w:val="9"/>
        <w:rPr>
          <w:rFonts w:hint="eastAsia" w:ascii="宋体" w:hAnsi="宋体" w:cs="宋体"/>
          <w:sz w:val="40"/>
          <w:szCs w:val="40"/>
        </w:rPr>
      </w:pPr>
    </w:p>
    <w:p>
      <w:pPr>
        <w:snapToGrid w:val="0"/>
        <w:spacing w:line="400" w:lineRule="atLeast"/>
        <w:jc w:val="center"/>
        <w:rPr>
          <w:rFonts w:hint="eastAsia" w:ascii="宋体" w:hAnsi="宋体" w:cs="宋体"/>
          <w:b/>
          <w:bCs/>
          <w:sz w:val="36"/>
          <w:szCs w:val="36"/>
        </w:rPr>
      </w:pPr>
      <w:r>
        <w:rPr>
          <w:rFonts w:hint="eastAsia" w:ascii="宋体" w:hAnsi="宋体" w:cs="宋体"/>
          <w:b/>
          <w:bCs/>
          <w:sz w:val="36"/>
          <w:szCs w:val="36"/>
        </w:rPr>
        <w:t>附录1  资格审查条件（资质最低要求）</w:t>
      </w:r>
    </w:p>
    <w:p>
      <w:pPr>
        <w:snapToGrid w:val="0"/>
        <w:spacing w:line="400" w:lineRule="atLeast"/>
      </w:pPr>
    </w:p>
    <w:tbl>
      <w:tblPr>
        <w:tblStyle w:val="7"/>
        <w:tblW w:w="92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7"/>
        <w:gridCol w:w="7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987" w:type="dxa"/>
            <w:noWrap w:val="0"/>
            <w:vAlign w:val="center"/>
          </w:tcPr>
          <w:p>
            <w:pPr>
              <w:snapToGrid w:val="0"/>
              <w:spacing w:line="400" w:lineRule="atLeast"/>
              <w:jc w:val="center"/>
              <w:rPr>
                <w:sz w:val="28"/>
                <w:szCs w:val="36"/>
              </w:rPr>
            </w:pPr>
            <w:r>
              <w:rPr>
                <w:rFonts w:hint="eastAsia"/>
                <w:sz w:val="28"/>
                <w:szCs w:val="36"/>
              </w:rPr>
              <w:t>合同包</w:t>
            </w:r>
          </w:p>
        </w:tc>
        <w:tc>
          <w:tcPr>
            <w:tcW w:w="7294" w:type="dxa"/>
            <w:noWrap w:val="0"/>
            <w:vAlign w:val="center"/>
          </w:tcPr>
          <w:p>
            <w:pPr>
              <w:snapToGrid w:val="0"/>
              <w:spacing w:line="400" w:lineRule="atLeast"/>
              <w:jc w:val="center"/>
              <w:rPr>
                <w:sz w:val="28"/>
                <w:szCs w:val="36"/>
              </w:rPr>
            </w:pPr>
            <w:r>
              <w:rPr>
                <w:sz w:val="28"/>
                <w:szCs w:val="36"/>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7" w:type="dxa"/>
            <w:noWrap w:val="0"/>
            <w:vAlign w:val="center"/>
          </w:tcPr>
          <w:p>
            <w:pPr>
              <w:jc w:val="center"/>
              <w:rPr>
                <w:sz w:val="28"/>
                <w:szCs w:val="28"/>
              </w:rPr>
            </w:pPr>
            <w:r>
              <w:rPr>
                <w:rFonts w:hint="eastAsia" w:ascii="宋体" w:hAnsi="宋体" w:cs="宋体"/>
                <w:sz w:val="28"/>
                <w:szCs w:val="28"/>
              </w:rPr>
              <w:t>鄂西分部</w:t>
            </w:r>
          </w:p>
        </w:tc>
        <w:tc>
          <w:tcPr>
            <w:tcW w:w="7294" w:type="dxa"/>
            <w:noWrap w:val="0"/>
            <w:vAlign w:val="center"/>
          </w:tcPr>
          <w:p>
            <w:pPr>
              <w:spacing w:line="400" w:lineRule="exact"/>
              <w:rPr>
                <w:rFonts w:hint="eastAsia" w:ascii="宋体" w:hAnsi="宋体" w:cs="宋体"/>
                <w:sz w:val="28"/>
                <w:szCs w:val="28"/>
              </w:rPr>
            </w:pPr>
            <w:r>
              <w:rPr>
                <w:rFonts w:hint="eastAsia" w:ascii="宋体" w:hAnsi="宋体" w:cs="宋体"/>
                <w:sz w:val="28"/>
                <w:szCs w:val="28"/>
              </w:rPr>
              <w:t>1.申请人若为生产厂家，须同时具备：</w:t>
            </w:r>
          </w:p>
          <w:p>
            <w:pPr>
              <w:spacing w:line="400" w:lineRule="exact"/>
              <w:rPr>
                <w:rFonts w:hint="eastAsia" w:ascii="宋体" w:hAnsi="宋体" w:cs="宋体"/>
                <w:sz w:val="28"/>
                <w:szCs w:val="28"/>
              </w:rPr>
            </w:pPr>
            <w:r>
              <w:rPr>
                <w:rFonts w:hint="eastAsia" w:ascii="宋体" w:hAnsi="宋体" w:cs="宋体"/>
                <w:sz w:val="28"/>
                <w:szCs w:val="28"/>
              </w:rPr>
              <w:t>（1）独立的法人资格，具备有效的《营业执照》；</w:t>
            </w:r>
          </w:p>
          <w:p>
            <w:pPr>
              <w:spacing w:line="400" w:lineRule="exact"/>
              <w:rPr>
                <w:rFonts w:hint="eastAsia" w:ascii="宋体" w:hAnsi="宋体" w:cs="宋体"/>
                <w:sz w:val="28"/>
                <w:szCs w:val="28"/>
              </w:rPr>
            </w:pPr>
            <w:r>
              <w:rPr>
                <w:rFonts w:hint="eastAsia" w:ascii="宋体" w:hAnsi="宋体" w:cs="宋体"/>
                <w:sz w:val="28"/>
                <w:szCs w:val="28"/>
              </w:rPr>
              <w:t>（2）有效的《安全生产许可证》；</w:t>
            </w:r>
          </w:p>
          <w:p>
            <w:pPr>
              <w:spacing w:line="400" w:lineRule="exact"/>
              <w:rPr>
                <w:rFonts w:hint="eastAsia" w:ascii="宋体" w:hAnsi="宋体" w:cs="宋体"/>
                <w:sz w:val="28"/>
                <w:szCs w:val="28"/>
              </w:rPr>
            </w:pPr>
            <w:r>
              <w:rPr>
                <w:rFonts w:hint="eastAsia" w:ascii="宋体" w:hAnsi="宋体" w:cs="宋体"/>
                <w:sz w:val="28"/>
                <w:szCs w:val="28"/>
              </w:rPr>
              <w:t>（3）有效的《采矿许可证》。</w:t>
            </w:r>
          </w:p>
          <w:p>
            <w:pPr>
              <w:spacing w:line="400" w:lineRule="exact"/>
              <w:rPr>
                <w:rFonts w:hint="eastAsia" w:ascii="宋体" w:hAnsi="宋体" w:cs="宋体"/>
                <w:sz w:val="28"/>
                <w:szCs w:val="28"/>
              </w:rPr>
            </w:pPr>
            <w:r>
              <w:rPr>
                <w:rFonts w:hint="eastAsia" w:ascii="宋体" w:hAnsi="宋体" w:cs="宋体"/>
                <w:sz w:val="28"/>
                <w:szCs w:val="28"/>
              </w:rPr>
              <w:t>2.申请人若为代理销售类供应商，须同时具备：</w:t>
            </w:r>
          </w:p>
          <w:p>
            <w:pPr>
              <w:spacing w:line="400" w:lineRule="exact"/>
              <w:rPr>
                <w:rFonts w:hint="eastAsia" w:ascii="宋体" w:hAnsi="宋体" w:cs="宋体"/>
                <w:sz w:val="28"/>
                <w:szCs w:val="28"/>
              </w:rPr>
            </w:pPr>
            <w:r>
              <w:rPr>
                <w:rFonts w:hint="eastAsia" w:ascii="宋体" w:hAnsi="宋体" w:cs="宋体"/>
                <w:sz w:val="28"/>
                <w:szCs w:val="28"/>
              </w:rPr>
              <w:t>（1）独立的法人资格，具备有效的《营业执照》；</w:t>
            </w:r>
          </w:p>
          <w:p>
            <w:pPr>
              <w:spacing w:line="400" w:lineRule="exact"/>
              <w:rPr>
                <w:sz w:val="28"/>
                <w:szCs w:val="28"/>
              </w:rPr>
            </w:pPr>
            <w:r>
              <w:rPr>
                <w:rFonts w:hint="eastAsia" w:ascii="宋体" w:hAnsi="宋体" w:cs="宋体"/>
                <w:sz w:val="28"/>
                <w:szCs w:val="28"/>
              </w:rPr>
              <w:t>（2）按第“1”款要求，提供料源生产厂家的（1）、（2）和（3）项资料。</w:t>
            </w:r>
          </w:p>
        </w:tc>
      </w:tr>
    </w:tbl>
    <w:p>
      <w:pPr>
        <w:spacing w:line="500" w:lineRule="exact"/>
        <w:jc w:val="center"/>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snapToGrid w:val="0"/>
        <w:spacing w:line="400" w:lineRule="atLeast"/>
        <w:jc w:val="center"/>
        <w:rPr>
          <w:rFonts w:hint="eastAsia" w:ascii="宋体" w:hAnsi="宋体" w:cs="宋体"/>
          <w:b/>
          <w:bCs/>
          <w:sz w:val="40"/>
          <w:szCs w:val="40"/>
        </w:rPr>
      </w:pPr>
    </w:p>
    <w:p>
      <w:pPr>
        <w:snapToGrid w:val="0"/>
        <w:spacing w:line="400" w:lineRule="atLeast"/>
        <w:jc w:val="center"/>
        <w:rPr>
          <w:rFonts w:hint="eastAsia" w:ascii="宋体" w:hAnsi="宋体" w:cs="宋体"/>
          <w:b/>
          <w:bCs/>
          <w:sz w:val="36"/>
          <w:szCs w:val="36"/>
        </w:rPr>
      </w:pPr>
      <w:r>
        <w:rPr>
          <w:rFonts w:hint="eastAsia" w:ascii="宋体" w:hAnsi="宋体" w:cs="宋体"/>
          <w:b/>
          <w:bCs/>
          <w:sz w:val="36"/>
          <w:szCs w:val="36"/>
        </w:rPr>
        <w:t>附录2  资格审查条件</w:t>
      </w:r>
    </w:p>
    <w:p>
      <w:pPr>
        <w:pStyle w:val="6"/>
      </w:pP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3"/>
        <w:gridCol w:w="7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903"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合同包</w:t>
            </w:r>
          </w:p>
        </w:tc>
        <w:tc>
          <w:tcPr>
            <w:tcW w:w="7271"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903" w:type="dxa"/>
            <w:noWrap w:val="0"/>
            <w:vAlign w:val="center"/>
          </w:tcPr>
          <w:p>
            <w:pPr>
              <w:jc w:val="center"/>
              <w:rPr>
                <w:rFonts w:hint="eastAsia" w:ascii="宋体" w:hAnsi="宋体" w:cs="宋体"/>
                <w:sz w:val="28"/>
                <w:szCs w:val="28"/>
              </w:rPr>
            </w:pPr>
            <w:r>
              <w:rPr>
                <w:rFonts w:hint="eastAsia" w:ascii="宋体" w:hAnsi="宋体" w:cs="宋体"/>
                <w:sz w:val="28"/>
                <w:szCs w:val="28"/>
              </w:rPr>
              <w:t>鄂西分部</w:t>
            </w:r>
          </w:p>
        </w:tc>
        <w:tc>
          <w:tcPr>
            <w:tcW w:w="7271" w:type="dxa"/>
            <w:noWrap w:val="0"/>
            <w:vAlign w:val="center"/>
          </w:tcPr>
          <w:p>
            <w:pPr>
              <w:widowControl/>
              <w:spacing w:line="400" w:lineRule="exact"/>
              <w:rPr>
                <w:rFonts w:ascii="宋体" w:hAnsi="宋体" w:cs="宋体"/>
                <w:sz w:val="28"/>
                <w:szCs w:val="28"/>
              </w:rPr>
            </w:pPr>
            <w:r>
              <w:rPr>
                <w:rFonts w:hint="eastAsia" w:ascii="宋体" w:hAnsi="宋体" w:cs="宋体"/>
                <w:sz w:val="28"/>
                <w:szCs w:val="28"/>
              </w:rPr>
              <w:t>1.由银行出具2020年5月-7月的单位账户流水证明，每</w:t>
            </w:r>
          </w:p>
          <w:p>
            <w:pPr>
              <w:widowControl/>
              <w:spacing w:line="400" w:lineRule="exact"/>
              <w:rPr>
                <w:rFonts w:ascii="宋体" w:hAnsi="宋体" w:cs="宋体"/>
                <w:sz w:val="28"/>
                <w:szCs w:val="28"/>
              </w:rPr>
            </w:pPr>
            <w:r>
              <w:rPr>
                <w:rFonts w:hint="eastAsia" w:ascii="宋体" w:hAnsi="宋体" w:cs="宋体"/>
                <w:sz w:val="28"/>
                <w:szCs w:val="28"/>
              </w:rPr>
              <w:t>月月末账户余额平均值不少于遴选控制价的20%；</w:t>
            </w:r>
          </w:p>
          <w:p>
            <w:pPr>
              <w:widowControl/>
              <w:numPr>
                <w:ilvl w:val="0"/>
                <w:numId w:val="0"/>
              </w:numPr>
              <w:tabs>
                <w:tab w:val="left" w:pos="312"/>
              </w:tabs>
              <w:spacing w:line="440" w:lineRule="exact"/>
              <w:rPr>
                <w:rFonts w:hint="default" w:ascii="宋体" w:hAnsi="宋体" w:eastAsia="宋体" w:cs="宋体"/>
                <w:sz w:val="28"/>
                <w:szCs w:val="28"/>
                <w:lang w:val="en-US" w:eastAsia="zh-CN"/>
              </w:rPr>
            </w:pPr>
            <w:r>
              <w:rPr>
                <w:rFonts w:hint="eastAsia" w:ascii="宋体" w:hAnsi="宋体" w:cs="宋体"/>
                <w:sz w:val="28"/>
                <w:szCs w:val="28"/>
                <w:lang w:val="en-US" w:eastAsia="zh-CN"/>
              </w:rPr>
              <w:t>2.提供</w:t>
            </w:r>
            <w:r>
              <w:rPr>
                <w:rFonts w:hint="default" w:ascii="宋体" w:hAnsi="宋体" w:eastAsia="宋体" w:cs="宋体"/>
                <w:sz w:val="28"/>
                <w:szCs w:val="28"/>
                <w:lang w:val="en-US" w:eastAsia="zh-CN"/>
              </w:rPr>
              <w:t>同类型材料</w:t>
            </w:r>
            <w:r>
              <w:rPr>
                <w:rFonts w:hint="eastAsia" w:ascii="宋体" w:hAnsi="宋体" w:cs="宋体"/>
                <w:sz w:val="28"/>
                <w:szCs w:val="28"/>
                <w:lang w:val="en-US" w:eastAsia="zh-CN"/>
              </w:rPr>
              <w:t>增值税专用</w:t>
            </w:r>
            <w:r>
              <w:rPr>
                <w:rFonts w:hint="default" w:ascii="宋体" w:hAnsi="宋体" w:eastAsia="宋体" w:cs="宋体"/>
                <w:sz w:val="28"/>
                <w:szCs w:val="28"/>
                <w:lang w:val="en-US" w:eastAsia="zh-CN"/>
              </w:rPr>
              <w:t>发票一张</w:t>
            </w:r>
            <w:r>
              <w:rPr>
                <w:rFonts w:hint="eastAsia" w:ascii="宋体" w:hAnsi="宋体" w:cs="宋体"/>
                <w:sz w:val="28"/>
                <w:szCs w:val="28"/>
                <w:lang w:val="en-US" w:eastAsia="zh-CN"/>
              </w:rPr>
              <w:t>；</w:t>
            </w:r>
          </w:p>
          <w:p>
            <w:pPr>
              <w:widowControl/>
              <w:spacing w:line="400" w:lineRule="exact"/>
              <w:rPr>
                <w:rFonts w:hint="eastAsia" w:ascii="宋体" w:hAnsi="宋体" w:cs="宋体"/>
                <w:sz w:val="28"/>
                <w:szCs w:val="28"/>
              </w:rPr>
            </w:pPr>
            <w:r>
              <w:rPr>
                <w:rFonts w:hint="eastAsia" w:ascii="宋体" w:hAnsi="宋体" w:cs="宋体"/>
                <w:sz w:val="28"/>
                <w:szCs w:val="28"/>
                <w:lang w:val="en-US" w:eastAsia="zh-CN"/>
              </w:rPr>
              <w:t>3.垫资不低于100万。</w:t>
            </w:r>
          </w:p>
        </w:tc>
      </w:tr>
    </w:tbl>
    <w:p>
      <w:pPr>
        <w:pStyle w:val="6"/>
        <w:ind w:left="0" w:leftChars="0" w:firstLine="0" w:firstLineChars="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snapToGrid w:val="0"/>
        <w:spacing w:line="400" w:lineRule="atLeast"/>
        <w:jc w:val="center"/>
        <w:rPr>
          <w:rFonts w:hint="eastAsia" w:ascii="宋体" w:hAnsi="宋体" w:cs="宋体"/>
          <w:b/>
          <w:bCs/>
          <w:sz w:val="36"/>
          <w:szCs w:val="36"/>
        </w:rPr>
      </w:pPr>
    </w:p>
    <w:p>
      <w:pPr>
        <w:snapToGrid w:val="0"/>
        <w:spacing w:line="400" w:lineRule="atLeast"/>
        <w:jc w:val="center"/>
        <w:rPr>
          <w:rFonts w:hint="eastAsia" w:ascii="宋体" w:hAnsi="宋体" w:cs="宋体"/>
          <w:b/>
          <w:bCs/>
          <w:sz w:val="36"/>
          <w:szCs w:val="36"/>
        </w:rPr>
      </w:pPr>
      <w:r>
        <w:rPr>
          <w:rFonts w:hint="eastAsia" w:ascii="宋体" w:hAnsi="宋体" w:cs="宋体"/>
          <w:b/>
          <w:bCs/>
          <w:sz w:val="36"/>
          <w:szCs w:val="36"/>
        </w:rPr>
        <w:t>附录3  资格审查条件(业绩最低要求)</w:t>
      </w:r>
    </w:p>
    <w:p>
      <w:pPr>
        <w:snapToGrid w:val="0"/>
        <w:spacing w:line="400" w:lineRule="atLeast"/>
        <w:jc w:val="center"/>
        <w:rPr>
          <w:rFonts w:eastAsia="黑体"/>
        </w:rPr>
      </w:pPr>
    </w:p>
    <w:tbl>
      <w:tblPr>
        <w:tblStyle w:val="7"/>
        <w:tblW w:w="9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2"/>
        <w:gridCol w:w="7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72"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合同包</w:t>
            </w:r>
          </w:p>
        </w:tc>
        <w:tc>
          <w:tcPr>
            <w:tcW w:w="7369"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5" w:hRule="atLeast"/>
          <w:jc w:val="center"/>
        </w:trPr>
        <w:tc>
          <w:tcPr>
            <w:tcW w:w="1972" w:type="dxa"/>
            <w:noWrap w:val="0"/>
            <w:vAlign w:val="center"/>
          </w:tcPr>
          <w:p>
            <w:pPr>
              <w:jc w:val="center"/>
              <w:rPr>
                <w:rFonts w:ascii="宋体" w:hAnsi="宋体" w:cs="宋体"/>
                <w:sz w:val="28"/>
                <w:szCs w:val="28"/>
              </w:rPr>
            </w:pPr>
            <w:r>
              <w:rPr>
                <w:rFonts w:hint="eastAsia" w:ascii="宋体" w:hAnsi="宋体" w:cs="宋体"/>
                <w:sz w:val="28"/>
                <w:szCs w:val="28"/>
              </w:rPr>
              <w:t>鄂西分部</w:t>
            </w:r>
          </w:p>
        </w:tc>
        <w:tc>
          <w:tcPr>
            <w:tcW w:w="7369" w:type="dxa"/>
            <w:noWrap w:val="0"/>
            <w:vAlign w:val="center"/>
          </w:tcPr>
          <w:p>
            <w:pPr>
              <w:rPr>
                <w:rFonts w:hint="eastAsia" w:ascii="宋体" w:hAnsi="宋体" w:cs="宋体"/>
                <w:sz w:val="28"/>
                <w:szCs w:val="28"/>
              </w:rPr>
            </w:pPr>
            <w:r>
              <w:rPr>
                <w:rFonts w:hint="eastAsia" w:ascii="宋体" w:hAnsi="宋体" w:cs="宋体"/>
                <w:sz w:val="28"/>
                <w:szCs w:val="28"/>
              </w:rPr>
              <w:t>近3年（2017年1月1日至申请截止日）有</w:t>
            </w:r>
            <w:r>
              <w:rPr>
                <w:rFonts w:hint="eastAsia" w:ascii="宋体" w:hAnsi="宋体"/>
                <w:sz w:val="28"/>
                <w:szCs w:val="28"/>
              </w:rPr>
              <w:t>至少一个</w:t>
            </w:r>
            <w:r>
              <w:rPr>
                <w:rFonts w:hint="eastAsia" w:ascii="宋体" w:hAnsi="宋体" w:cs="宋体"/>
                <w:sz w:val="28"/>
                <w:szCs w:val="28"/>
              </w:rPr>
              <w:t>高速公路项目二期工程碎石的供货业绩。</w:t>
            </w:r>
          </w:p>
        </w:tc>
      </w:tr>
    </w:tbl>
    <w:p>
      <w:pPr>
        <w:spacing w:line="500" w:lineRule="exact"/>
        <w:ind w:firstLine="560" w:firstLineChars="200"/>
        <w:rPr>
          <w:rFonts w:hint="eastAsia" w:ascii="宋体" w:hAnsi="宋体"/>
          <w:color w:val="000000"/>
          <w:sz w:val="28"/>
          <w:szCs w:val="28"/>
        </w:rPr>
      </w:pPr>
      <w:r>
        <w:rPr>
          <w:rFonts w:hint="eastAsia" w:ascii="宋体" w:hAnsi="宋体" w:cs="宋体"/>
          <w:kern w:val="0"/>
          <w:sz w:val="28"/>
          <w:szCs w:val="36"/>
        </w:rPr>
        <w:t>注：申请人应填写近3年(以签订合同时间为准)来承担的类似项目业绩，并提供合同协议书。如无合同协议书，遴选人在对申请人进行业绩审查时将不考虑该项目。</w:t>
      </w:r>
    </w:p>
    <w:p>
      <w:pPr>
        <w:spacing w:line="500" w:lineRule="exact"/>
        <w:jc w:val="center"/>
        <w:rPr>
          <w:rFonts w:hint="eastAsia" w:ascii="宋体" w:hAnsi="宋体"/>
          <w:color w:val="000000"/>
          <w:sz w:val="28"/>
          <w:szCs w:val="28"/>
        </w:rPr>
      </w:pPr>
    </w:p>
    <w:p>
      <w:pPr>
        <w:spacing w:line="500" w:lineRule="exact"/>
        <w:jc w:val="center"/>
        <w:rPr>
          <w:rFonts w:hint="eastAsia" w:ascii="宋体" w:hAnsi="宋体"/>
          <w:color w:val="000000"/>
          <w:sz w:val="28"/>
          <w:szCs w:val="28"/>
        </w:rPr>
      </w:pPr>
    </w:p>
    <w:p>
      <w:pPr>
        <w:spacing w:line="500" w:lineRule="exact"/>
        <w:jc w:val="center"/>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pStyle w:val="6"/>
        <w:ind w:firstLine="560"/>
        <w:rPr>
          <w:rFonts w:hint="eastAsia" w:ascii="宋体" w:hAnsi="宋体"/>
          <w:color w:val="000000"/>
          <w:sz w:val="28"/>
          <w:szCs w:val="28"/>
        </w:rPr>
      </w:pPr>
    </w:p>
    <w:p>
      <w:pPr>
        <w:snapToGrid w:val="0"/>
        <w:spacing w:line="400" w:lineRule="atLeast"/>
        <w:jc w:val="center"/>
        <w:rPr>
          <w:rFonts w:hint="eastAsia" w:ascii="宋体" w:hAnsi="宋体" w:cs="宋体"/>
          <w:b/>
          <w:bCs/>
          <w:sz w:val="36"/>
          <w:szCs w:val="36"/>
        </w:rPr>
      </w:pPr>
      <w:r>
        <w:rPr>
          <w:rFonts w:hint="eastAsia" w:ascii="宋体" w:hAnsi="宋体" w:cs="宋体"/>
          <w:b/>
          <w:bCs/>
          <w:sz w:val="36"/>
          <w:szCs w:val="36"/>
        </w:rPr>
        <w:t>附录4  资格审查条件(信誉最低要求)</w:t>
      </w:r>
    </w:p>
    <w:p>
      <w:pPr>
        <w:snapToGrid w:val="0"/>
        <w:spacing w:line="400" w:lineRule="atLeast"/>
        <w:rPr>
          <w:bCs/>
        </w:rPr>
      </w:pPr>
    </w:p>
    <w:tbl>
      <w:tblPr>
        <w:tblStyle w:val="7"/>
        <w:tblW w:w="93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1"/>
        <w:gridCol w:w="7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861"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合同包</w:t>
            </w:r>
          </w:p>
        </w:tc>
        <w:tc>
          <w:tcPr>
            <w:tcW w:w="7480" w:type="dxa"/>
            <w:noWrap w:val="0"/>
            <w:vAlign w:val="center"/>
          </w:tcPr>
          <w:p>
            <w:pPr>
              <w:snapToGrid w:val="0"/>
              <w:spacing w:line="400" w:lineRule="atLeast"/>
              <w:jc w:val="center"/>
              <w:rPr>
                <w:rFonts w:hint="eastAsia" w:ascii="宋体" w:hAnsi="宋体" w:cs="宋体"/>
                <w:sz w:val="28"/>
                <w:szCs w:val="28"/>
              </w:rPr>
            </w:pPr>
            <w:r>
              <w:rPr>
                <w:rFonts w:hint="eastAsia" w:ascii="宋体" w:hAnsi="宋体" w:cs="宋体"/>
                <w:sz w:val="28"/>
                <w:szCs w:val="28"/>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861" w:type="dxa"/>
            <w:noWrap w:val="0"/>
            <w:vAlign w:val="center"/>
          </w:tcPr>
          <w:p>
            <w:pPr>
              <w:jc w:val="center"/>
              <w:rPr>
                <w:rFonts w:hint="eastAsia" w:ascii="宋体" w:hAnsi="宋体" w:cs="宋体"/>
                <w:sz w:val="28"/>
                <w:szCs w:val="28"/>
              </w:rPr>
            </w:pPr>
            <w:r>
              <w:rPr>
                <w:rFonts w:hint="eastAsia" w:ascii="宋体" w:hAnsi="宋体" w:cs="宋体"/>
                <w:sz w:val="28"/>
                <w:szCs w:val="28"/>
              </w:rPr>
              <w:t>鄂西高速专项养护YH1标</w:t>
            </w:r>
          </w:p>
        </w:tc>
        <w:tc>
          <w:tcPr>
            <w:tcW w:w="7480" w:type="dxa"/>
            <w:noWrap w:val="0"/>
            <w:vAlign w:val="center"/>
          </w:tcPr>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不得存在下列情况（信誉最低要求）：</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1.处于被责令停业、接管或清算、破产状态；</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2.处于被交通运输部或湖北省交通运输主管部门作出禁止进入公路建设市场的处罚且处于有效期内；</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3.存在下列不良状况或不良信用记录：</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（1）在国家企业信用信息公示系统（http://www.gsxt.gov.cn/）中被列入严重违法失信企业名单的；</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（2）在“信用中国”网站（http://www.creditchina.gov.cn/）中被列入失信被执行人名单或重大税收违法案件当事人；</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（3）申请人或其法定代表人在近三年内有行贿犯罪行为的；</w:t>
            </w:r>
          </w:p>
          <w:p>
            <w:pPr>
              <w:wordWrap w:val="0"/>
              <w:adjustRightInd w:val="0"/>
              <w:spacing w:line="400" w:lineRule="exact"/>
              <w:textAlignment w:val="baseline"/>
              <w:rPr>
                <w:rFonts w:hint="eastAsia" w:ascii="宋体" w:hAnsi="宋体" w:cs="宋体"/>
                <w:kern w:val="0"/>
                <w:sz w:val="28"/>
                <w:szCs w:val="28"/>
              </w:rPr>
            </w:pPr>
            <w:r>
              <w:rPr>
                <w:rFonts w:hint="eastAsia" w:ascii="宋体" w:hAnsi="宋体" w:cs="宋体"/>
                <w:kern w:val="0"/>
                <w:sz w:val="28"/>
                <w:szCs w:val="28"/>
              </w:rPr>
              <w:t>（4）其他在“信用中国”网站（http://www.creditchina.gov.cn/）中被列为失信惩戒对象，且按联合惩戒要求禁止参与招投标的。</w:t>
            </w:r>
          </w:p>
          <w:p>
            <w:pPr>
              <w:wordWrap w:val="0"/>
              <w:adjustRightInd w:val="0"/>
              <w:spacing w:line="400" w:lineRule="exact"/>
              <w:textAlignment w:val="baseline"/>
              <w:rPr>
                <w:rFonts w:hint="eastAsia" w:ascii="宋体" w:hAnsi="宋体" w:cs="宋体"/>
                <w:sz w:val="28"/>
                <w:szCs w:val="28"/>
              </w:rPr>
            </w:pPr>
          </w:p>
        </w:tc>
      </w:tr>
    </w:tbl>
    <w:p>
      <w:pPr>
        <w:pStyle w:val="6"/>
        <w:ind w:left="0" w:leftChars="0" w:firstLine="0" w:firstLineChars="0"/>
        <w:rPr>
          <w:rFonts w:hint="eastAsia" w:ascii="宋体" w:hAnsi="宋体"/>
          <w:color w:val="000000"/>
          <w:sz w:val="28"/>
          <w:szCs w:val="28"/>
        </w:rPr>
      </w:pPr>
      <w:r>
        <w:rPr>
          <w:rFonts w:hint="eastAsia" w:ascii="宋体" w:hAnsi="宋体" w:cs="宋体"/>
          <w:sz w:val="28"/>
          <w:szCs w:val="28"/>
        </w:rPr>
        <w:t>注：对以上（1）、（2）、（4）信用状况应附指定网站截图，截图时间为遴选公告发布之日至申请截止日之间。</w:t>
      </w:r>
    </w:p>
    <w:p>
      <w:pPr>
        <w:pStyle w:val="6"/>
        <w:ind w:firstLine="560"/>
        <w:rPr>
          <w:rFonts w:hint="eastAsia" w:ascii="宋体" w:hAnsi="宋体"/>
          <w:color w:val="000000"/>
          <w:sz w:val="28"/>
          <w:szCs w:val="28"/>
        </w:rPr>
      </w:pPr>
    </w:p>
    <w:p>
      <w:pPr>
        <w:spacing w:line="500" w:lineRule="exact"/>
        <w:jc w:val="right"/>
        <w:rPr>
          <w:rFonts w:hint="eastAsia" w:ascii="宋体" w:hAnsi="宋体"/>
          <w:sz w:val="28"/>
          <w:szCs w:val="28"/>
          <w:highlight w:val="yellow"/>
        </w:rPr>
      </w:pPr>
    </w:p>
    <w:p>
      <w:pPr>
        <w:spacing w:line="500" w:lineRule="exact"/>
        <w:jc w:val="right"/>
        <w:rPr>
          <w:rFonts w:hint="eastAsia" w:ascii="宋体" w:hAnsi="宋体"/>
          <w:sz w:val="28"/>
          <w:szCs w:val="28"/>
          <w:highlight w:val="yellow"/>
        </w:rPr>
      </w:pPr>
    </w:p>
    <w:p>
      <w:pPr>
        <w:spacing w:line="500" w:lineRule="exact"/>
        <w:jc w:val="right"/>
        <w:rPr>
          <w:rFonts w:hint="eastAsia" w:ascii="宋体" w:hAnsi="宋体"/>
          <w:sz w:val="28"/>
          <w:szCs w:val="28"/>
          <w:highlight w:val="yellow"/>
        </w:rPr>
      </w:pPr>
    </w:p>
    <w:p>
      <w:pPr>
        <w:spacing w:line="500" w:lineRule="exact"/>
        <w:jc w:val="right"/>
        <w:rPr>
          <w:rFonts w:hint="eastAsia" w:ascii="宋体" w:hAnsi="宋体"/>
          <w:sz w:val="28"/>
          <w:szCs w:val="28"/>
          <w:highlight w:val="yellow"/>
        </w:rPr>
      </w:pPr>
    </w:p>
    <w:p>
      <w:bookmarkStart w:id="11" w:name="_GoBack"/>
      <w:bookmarkEnd w:id="1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83379A"/>
    <w:rsid w:val="1183379A"/>
    <w:rsid w:val="2F364BC6"/>
    <w:rsid w:val="35821478"/>
    <w:rsid w:val="3989369D"/>
    <w:rsid w:val="5C970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left"/>
      <w:outlineLvl w:val="0"/>
    </w:pPr>
    <w:rPr>
      <w:rFonts w:ascii="Times New Roman" w:hAnsi="Times New Roman" w:eastAsia="黑体" w:cs="Times New Roman"/>
      <w:bCs/>
      <w:kern w:val="44"/>
      <w:sz w:val="28"/>
      <w:szCs w:val="44"/>
    </w:rPr>
  </w:style>
  <w:style w:type="paragraph" w:styleId="4">
    <w:name w:val="heading 2"/>
    <w:basedOn w:val="1"/>
    <w:next w:val="1"/>
    <w:link w:val="9"/>
    <w:semiHidden/>
    <w:unhideWhenUsed/>
    <w:qFormat/>
    <w:uiPriority w:val="0"/>
    <w:pPr>
      <w:keepNext/>
      <w:keepLines/>
      <w:spacing w:before="260" w:after="260" w:line="416" w:lineRule="auto"/>
      <w:outlineLvl w:val="1"/>
    </w:pPr>
    <w:rPr>
      <w:rFonts w:ascii="Cambria" w:hAnsi="Cambria" w:eastAsia="仿宋_GB2312" w:cs="Times New Roman"/>
      <w:b/>
      <w:bCs/>
      <w:sz w:val="32"/>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5">
    <w:name w:val="Body Text Indent"/>
    <w:basedOn w:val="1"/>
    <w:qFormat/>
    <w:uiPriority w:val="0"/>
    <w:pPr>
      <w:spacing w:after="120"/>
      <w:ind w:left="420" w:leftChars="200"/>
    </w:pPr>
  </w:style>
  <w:style w:type="paragraph" w:styleId="6">
    <w:name w:val="Body Text First Indent 2"/>
    <w:basedOn w:val="5"/>
    <w:unhideWhenUsed/>
    <w:qFormat/>
    <w:uiPriority w:val="99"/>
    <w:pPr>
      <w:ind w:firstLine="420" w:firstLineChars="200"/>
    </w:pPr>
  </w:style>
  <w:style w:type="character" w:customStyle="1" w:styleId="9">
    <w:name w:val="标题 2 Char"/>
    <w:link w:val="4"/>
    <w:qFormat/>
    <w:uiPriority w:val="0"/>
    <w:rPr>
      <w:rFonts w:ascii="Cambria" w:hAnsi="Cambria" w:eastAsia="仿宋_GB2312" w:cs="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2020-08-07T05:48:00Z</dcterms:created>
  <dc:creator>李涛</dc:creator>
  <cp:lastModifiedBy>李涛</cp:lastModifiedBy>
  <dcterms:modified xsi:type="dcterms:W3CDTF">2020-08-07T05:48:44Z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